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D1" w:rsidRDefault="00504B9E">
      <w:pPr>
        <w:pStyle w:val="Corpodetexto"/>
        <w:spacing w:after="0" w:line="312" w:lineRule="atLeast"/>
        <w:jc w:val="both"/>
      </w:pPr>
      <w:bookmarkStart w:id="0" w:name="_GoBack"/>
      <w:bookmarkEnd w:id="0"/>
      <w:r>
        <w:rPr>
          <w:rFonts w:ascii="Arial" w:hAnsi="Arial" w:cs="Times New Roman"/>
          <w:color w:val="000000"/>
          <w:szCs w:val="20"/>
          <w:lang w:eastAsia="en-US" w:bidi="en-US"/>
        </w:rPr>
        <w:t xml:space="preserve">LEI MUNICIPAL Nº 7.144/2021                                            </w:t>
      </w:r>
      <w:r>
        <w:rPr>
          <w:rFonts w:ascii="Arial" w:hAnsi="Arial" w:cs="Times New Roman"/>
          <w:color w:val="000000"/>
          <w:szCs w:val="20"/>
          <w:lang w:eastAsia="en-US" w:bidi="en-US"/>
        </w:rPr>
        <w:tab/>
      </w:r>
      <w:proofErr w:type="gramStart"/>
      <w:r>
        <w:rPr>
          <w:rFonts w:ascii="Arial" w:hAnsi="Arial" w:cs="Times New Roman"/>
          <w:color w:val="000000"/>
          <w:szCs w:val="20"/>
          <w:lang w:eastAsia="en-US" w:bidi="en-US"/>
        </w:rPr>
        <w:t xml:space="preserve">  </w:t>
      </w:r>
      <w:proofErr w:type="gramEnd"/>
      <w:r>
        <w:rPr>
          <w:rFonts w:ascii="Arial" w:hAnsi="Arial" w:cs="Times New Roman"/>
          <w:color w:val="000000"/>
          <w:szCs w:val="20"/>
          <w:lang w:eastAsia="en-US" w:bidi="en-US"/>
        </w:rPr>
        <w:t xml:space="preserve">DE 20 </w:t>
      </w:r>
      <w:r>
        <w:rPr>
          <w:rFonts w:ascii="Arial" w:hAnsi="Arial" w:cs="Times New Roman"/>
          <w:color w:val="000000"/>
          <w:szCs w:val="20"/>
          <w:lang w:eastAsia="en-US" w:bidi="en-US"/>
        </w:rPr>
        <w:t>DE OUTUBRO</w:t>
      </w:r>
      <w:r>
        <w:rPr>
          <w:rFonts w:ascii="Arial" w:hAnsi="Arial" w:cs="Times New Roman"/>
          <w:color w:val="000000"/>
          <w:szCs w:val="20"/>
          <w:lang w:eastAsia="en-US" w:bidi="en-US"/>
        </w:rPr>
        <w:t xml:space="preserve"> DE 2021.</w:t>
      </w:r>
    </w:p>
    <w:p w:rsidR="001954D1" w:rsidRDefault="001954D1">
      <w:pPr>
        <w:pStyle w:val="Corpodetexto"/>
        <w:spacing w:after="0" w:line="312" w:lineRule="atLeast"/>
        <w:jc w:val="both"/>
        <w:rPr>
          <w:rFonts w:ascii="Arial" w:hAnsi="Arial" w:cs="Times New Roman"/>
          <w:color w:val="000000"/>
          <w:szCs w:val="20"/>
          <w:lang w:eastAsia="en-US" w:bidi="en-US"/>
        </w:rPr>
      </w:pPr>
    </w:p>
    <w:p w:rsidR="001954D1" w:rsidRDefault="001954D1">
      <w:pPr>
        <w:pStyle w:val="Corpodetexto"/>
        <w:spacing w:after="0" w:line="312" w:lineRule="atLeast"/>
        <w:ind w:left="5272"/>
        <w:jc w:val="both"/>
        <w:rPr>
          <w:rFonts w:ascii="Arial" w:eastAsia="TimesNewRomanPSMT" w:hAnsi="Arial" w:cs="Arial"/>
          <w:iCs/>
          <w:color w:val="000000"/>
          <w:szCs w:val="20"/>
          <w:lang w:eastAsia="pt-BR" w:bidi="en-US"/>
        </w:rPr>
      </w:pPr>
    </w:p>
    <w:p w:rsidR="001954D1" w:rsidRDefault="00504B9E">
      <w:pPr>
        <w:tabs>
          <w:tab w:val="left" w:pos="6060"/>
        </w:tabs>
        <w:spacing w:line="360" w:lineRule="auto"/>
        <w:ind w:left="4932"/>
        <w:jc w:val="both"/>
        <w:rPr>
          <w:rFonts w:ascii="Arial" w:eastAsia="TimesNewRomanPS-BoldMT" w:hAnsi="Arial"/>
          <w:sz w:val="21"/>
          <w:szCs w:val="21"/>
        </w:rPr>
      </w:pPr>
      <w:r>
        <w:rPr>
          <w:rFonts w:ascii="Arial" w:eastAsia="TimesNewRomanPS-BoldMT" w:hAnsi="Arial" w:cs="Calibri"/>
          <w:sz w:val="20"/>
          <w:szCs w:val="20"/>
          <w:lang w:eastAsia="pt-BR"/>
        </w:rPr>
        <w:t xml:space="preserve">Dispõe sobre as diretrizes para a elaboração e execução da Lei Orçamentária de 2022. </w:t>
      </w:r>
    </w:p>
    <w:p w:rsidR="001954D1" w:rsidRDefault="001954D1">
      <w:pPr>
        <w:tabs>
          <w:tab w:val="left" w:pos="6060"/>
        </w:tabs>
        <w:spacing w:line="360" w:lineRule="auto"/>
        <w:ind w:left="4932"/>
        <w:jc w:val="both"/>
        <w:rPr>
          <w:rFonts w:ascii="Arial" w:eastAsia="TimesNewRomanPS-BoldMT" w:hAnsi="Arial"/>
          <w:sz w:val="20"/>
          <w:szCs w:val="20"/>
        </w:rPr>
      </w:pPr>
    </w:p>
    <w:p w:rsidR="001954D1" w:rsidRDefault="00504B9E">
      <w:pPr>
        <w:pStyle w:val="Corpodetexto"/>
        <w:tabs>
          <w:tab w:val="left" w:pos="9029"/>
        </w:tabs>
        <w:spacing w:after="0" w:line="312" w:lineRule="atLeast"/>
        <w:ind w:firstLine="737"/>
        <w:jc w:val="both"/>
        <w:rPr>
          <w:rFonts w:ascii="Arial" w:hAnsi="Arial" w:cs="Arial"/>
          <w:sz w:val="21"/>
          <w:szCs w:val="21"/>
          <w:lang w:bidi="en-US"/>
        </w:rPr>
      </w:pPr>
      <w:r>
        <w:rPr>
          <w:rFonts w:ascii="Arial" w:eastAsia="Arial" w:hAnsi="Arial" w:cs="Arial"/>
          <w:color w:val="000000"/>
          <w:szCs w:val="20"/>
          <w:lang w:eastAsia="en-US" w:bidi="en-US"/>
        </w:rPr>
        <w:t xml:space="preserve">Prefeito Municipal de Giruá, Estado do Rio Grande do Sul, no uso </w:t>
      </w:r>
      <w:r>
        <w:rPr>
          <w:rFonts w:ascii="Arial" w:eastAsia="Arial" w:hAnsi="Arial" w:cs="Arial"/>
          <w:color w:val="000000"/>
          <w:szCs w:val="20"/>
          <w:lang w:eastAsia="en-US" w:bidi="en-US"/>
        </w:rPr>
        <w:t>de suas atribuições legais, faz saber</w:t>
      </w:r>
      <w:r>
        <w:rPr>
          <w:rFonts w:ascii="Arial" w:hAnsi="Arial" w:cs="Times New Roman"/>
          <w:szCs w:val="20"/>
          <w:lang w:bidi="en-US"/>
        </w:rPr>
        <w:t xml:space="preserve"> que a Câmara Municipal de Vereadores aprovou e ele sanciona e promulga a seguinte Lei Municipal.</w:t>
      </w:r>
    </w:p>
    <w:p w:rsidR="001954D1" w:rsidRDefault="001954D1">
      <w:pPr>
        <w:spacing w:line="360" w:lineRule="auto"/>
        <w:ind w:left="5443"/>
        <w:jc w:val="both"/>
        <w:rPr>
          <w:rFonts w:ascii="Arial" w:hAnsi="Arial" w:cs="Arial"/>
          <w:sz w:val="20"/>
          <w:szCs w:val="20"/>
        </w:rPr>
      </w:pP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CAPÍTULO I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DAS DISPOSIÇÕES PRELIMINARES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sz w:val="20"/>
          <w:szCs w:val="20"/>
          <w:lang w:val="pt-BR"/>
        </w:rPr>
        <w:t>São estabelecidas, em cumprimento ao disposto no art. 165, § 2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, da </w:t>
      </w:r>
      <w:r>
        <w:rPr>
          <w:rFonts w:ascii="Arial" w:hAnsi="Arial" w:cs="Arial"/>
          <w:sz w:val="20"/>
          <w:szCs w:val="20"/>
          <w:lang w:val="pt-BR"/>
        </w:rPr>
        <w:t xml:space="preserve">Constituição Federal e na 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4 de maio de 2000, a Lei de Responsabilidade Fiscal, as diretrizes orçamentárias do Município, compreendendo: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 – as diretrizes, objetivos e metas da administração para o exercício proposto, em conformi</w:t>
      </w:r>
      <w:r>
        <w:rPr>
          <w:rFonts w:ascii="Arial" w:hAnsi="Arial" w:cs="Arial"/>
          <w:sz w:val="20"/>
          <w:szCs w:val="20"/>
          <w:lang w:val="pt-BR"/>
        </w:rPr>
        <w:t>dade com o plano plurianual;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II - a estrutura, organização e diretrizes para a execução e alterações dos orçamentos </w:t>
      </w:r>
      <w:proofErr w:type="gramStart"/>
      <w:r>
        <w:rPr>
          <w:rFonts w:ascii="Arial" w:hAnsi="Arial" w:cs="Arial"/>
          <w:sz w:val="20"/>
          <w:szCs w:val="20"/>
          <w:lang w:val="pt-BR"/>
        </w:rPr>
        <w:t>do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Município;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III - as disposições relativas às despesas com pessoal;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IV - as disposições sobre as alterações na legislação tributária;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V – </w:t>
      </w:r>
      <w:r>
        <w:rPr>
          <w:rFonts w:ascii="Arial" w:hAnsi="Arial" w:cs="Arial"/>
          <w:sz w:val="20"/>
          <w:szCs w:val="20"/>
          <w:lang w:val="pt-BR"/>
        </w:rPr>
        <w:t>as disposições para transferências de recursos a entidades públicas e privadas;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VI – as condições para conveniar com outras esferas de governo.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Parágrafo único. Faz parte integrante desta Lei os seguintes anexos: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 – previsão e metodologia de cálculo da Re</w:t>
      </w:r>
      <w:r>
        <w:rPr>
          <w:rFonts w:ascii="Arial" w:hAnsi="Arial" w:cs="Arial"/>
          <w:sz w:val="20"/>
          <w:szCs w:val="20"/>
          <w:lang w:val="pt-BR"/>
        </w:rPr>
        <w:t>ceita e previsão da Despesa para 2022 a 2024;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 - previsão da Receita Corrente Líquida para 2022;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III – anexo de Metas Fiscais que conterá:</w:t>
      </w:r>
    </w:p>
    <w:p w:rsidR="001954D1" w:rsidRDefault="00504B9E">
      <w:pPr>
        <w:pStyle w:val="Standard"/>
        <w:tabs>
          <w:tab w:val="left" w:pos="900"/>
        </w:tabs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a) metas anuais de resultado nominal, primário e dívida pública para os exercícios de 2022 a 2024, 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instruída com 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memória e metodologia de cálculo que justifiquem os resultados pretendidos</w:t>
      </w:r>
      <w:r>
        <w:rPr>
          <w:rFonts w:ascii="Arial" w:hAnsi="Arial" w:cs="Arial"/>
          <w:sz w:val="20"/>
          <w:szCs w:val="20"/>
          <w:lang w:val="pt-BR"/>
        </w:rPr>
        <w:t>;</w:t>
      </w:r>
    </w:p>
    <w:p w:rsidR="001954D1" w:rsidRDefault="00504B9E">
      <w:pPr>
        <w:pStyle w:val="Standard"/>
        <w:tabs>
          <w:tab w:val="left" w:pos="90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>b) avaliação do cumprimento das metas fiscais do exercício anterior;</w:t>
      </w:r>
    </w:p>
    <w:p w:rsidR="001954D1" w:rsidRDefault="00504B9E">
      <w:pPr>
        <w:pStyle w:val="Standard"/>
        <w:tabs>
          <w:tab w:val="left" w:pos="90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c) metas fiscais atuais comparadas com as fixadas nos três exercícios anteriores;</w:t>
      </w:r>
    </w:p>
    <w:p w:rsidR="001954D1" w:rsidRDefault="00504B9E">
      <w:pPr>
        <w:pStyle w:val="Standard"/>
        <w:tabs>
          <w:tab w:val="left" w:pos="90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d) evolução do patrimônio </w:t>
      </w:r>
      <w:r>
        <w:rPr>
          <w:rFonts w:ascii="Arial" w:hAnsi="Arial" w:cs="Arial"/>
          <w:sz w:val="20"/>
          <w:szCs w:val="20"/>
          <w:lang w:val="pt-BR"/>
        </w:rPr>
        <w:t>líquido;</w:t>
      </w:r>
    </w:p>
    <w:p w:rsidR="001954D1" w:rsidRDefault="00504B9E">
      <w:pPr>
        <w:pStyle w:val="Standard"/>
        <w:tabs>
          <w:tab w:val="left" w:pos="90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e) origem e aplicação dos recursos obtidos com a alienação de ativos;</w:t>
      </w:r>
    </w:p>
    <w:p w:rsidR="001954D1" w:rsidRDefault="00504B9E">
      <w:pPr>
        <w:pStyle w:val="Standard"/>
        <w:tabs>
          <w:tab w:val="left" w:pos="90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f) avaliação da situação financeira e atuarial do Regime Próprio de Previdência dos Servidores Públicos;</w:t>
      </w:r>
    </w:p>
    <w:p w:rsidR="001954D1" w:rsidRDefault="00504B9E">
      <w:pPr>
        <w:pStyle w:val="Standard"/>
        <w:tabs>
          <w:tab w:val="left" w:pos="108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g) estimativa e compensação da renúncia da receita;</w:t>
      </w:r>
    </w:p>
    <w:p w:rsidR="001954D1" w:rsidRDefault="00504B9E">
      <w:pPr>
        <w:pStyle w:val="Standard"/>
        <w:tabs>
          <w:tab w:val="left" w:pos="1080"/>
        </w:tabs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h) margem de expansã</w:t>
      </w:r>
      <w:r>
        <w:rPr>
          <w:rFonts w:ascii="Arial" w:hAnsi="Arial" w:cs="Arial"/>
          <w:sz w:val="20"/>
          <w:szCs w:val="20"/>
          <w:lang w:val="pt-BR"/>
        </w:rPr>
        <w:t>o das despesas obrigatórias de caráter continuado;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IV - anexo de Riscos Fiscais;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V – relatório dos projetos em andamento e posição sobre a situação de conservação do patrimônio público e providências a serem adotadas pelo Executivo (Lei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art. 45, Parágrafo Único); e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VI – planejamento de despesas com para o exercício a que se refere à proposta, nos termos do art. 169, §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da Constituição Federal. </w:t>
      </w:r>
    </w:p>
    <w:p w:rsidR="001954D1" w:rsidRDefault="00504B9E">
      <w:pPr>
        <w:pStyle w:val="Ttulo1"/>
        <w:spacing w:after="280"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CAPÍTULO II</w:t>
      </w:r>
    </w:p>
    <w:p w:rsidR="001954D1" w:rsidRDefault="00504B9E">
      <w:pPr>
        <w:pStyle w:val="Ttulo1"/>
        <w:spacing w:after="280"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DAS DIRETRIZES, OBJETIVOS E </w:t>
      </w:r>
      <w:proofErr w:type="gramStart"/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METAS</w:t>
      </w:r>
      <w:proofErr w:type="gramEnd"/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iCs/>
          <w:sz w:val="20"/>
          <w:szCs w:val="20"/>
          <w:lang w:val="pt-BR"/>
        </w:rPr>
        <w:t>Art. 2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Os valores constantes no Ane</w:t>
      </w:r>
      <w:r>
        <w:rPr>
          <w:rFonts w:ascii="Arial" w:hAnsi="Arial" w:cs="Arial"/>
          <w:sz w:val="20"/>
          <w:szCs w:val="20"/>
          <w:lang w:val="pt-BR"/>
        </w:rPr>
        <w:t>xo de Metas e Prioridades que trata este artigo possuem caráter indicativo e não normativo.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Parágrafo único. Os valores constantes nos programas no plano plurianual ficam atualizados pelos valores previstos nesta Lei.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3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Para efeitos de execução orçam</w:t>
      </w:r>
      <w:r>
        <w:rPr>
          <w:rFonts w:ascii="Arial" w:hAnsi="Arial" w:cs="Arial"/>
          <w:sz w:val="20"/>
          <w:szCs w:val="20"/>
          <w:lang w:val="pt-BR"/>
        </w:rPr>
        <w:t>entária os indicadores, bem como as alterações nos valores de referência, metas, órgãos responsável e iniciativas sem financiamento orçamentário, poderão ser alterados pelo Poder Executivo, devendo este comunicar as alterações ao Legislativo para efeitos d</w:t>
      </w:r>
      <w:r>
        <w:rPr>
          <w:rFonts w:ascii="Arial" w:hAnsi="Arial" w:cs="Arial"/>
          <w:sz w:val="20"/>
          <w:szCs w:val="20"/>
          <w:lang w:val="pt-BR"/>
        </w:rPr>
        <w:t xml:space="preserve">e acompanhamento da execução orçamentária prevista na Constituição da República, art. 166, </w:t>
      </w:r>
      <w:r>
        <w:rPr>
          <w:rFonts w:ascii="Arial" w:hAnsi="Arial" w:cs="Arial"/>
          <w:i/>
          <w:iCs/>
          <w:sz w:val="20"/>
          <w:szCs w:val="20"/>
          <w:lang w:val="pt-BR"/>
        </w:rPr>
        <w:t xml:space="preserve">§ </w:t>
      </w:r>
      <w:r>
        <w:rPr>
          <w:rFonts w:ascii="Arial" w:hAnsi="Arial" w:cs="Arial"/>
          <w:sz w:val="20"/>
          <w:szCs w:val="20"/>
          <w:lang w:val="pt-BR"/>
        </w:rPr>
        <w:t>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>, inciso II.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4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Os códigos dos programas de governo deverão ser os mesmos utilizados no Plano Plurianual.</w:t>
      </w:r>
    </w:p>
    <w:p w:rsidR="001954D1" w:rsidRDefault="001954D1">
      <w:pPr>
        <w:pStyle w:val="Ttulo6"/>
        <w:spacing w:before="0" w:line="276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p w:rsidR="001954D1" w:rsidRDefault="00504B9E">
      <w:pPr>
        <w:pStyle w:val="Ttulo6"/>
        <w:spacing w:before="0" w:line="276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lastRenderedPageBreak/>
        <w:t>CAPÍTULO III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 ESTRUTURA E ORGANIZAÇÃO DO </w:t>
      </w:r>
      <w:r>
        <w:rPr>
          <w:rFonts w:ascii="Arial" w:hAnsi="Arial" w:cs="Arial"/>
          <w:sz w:val="20"/>
          <w:szCs w:val="20"/>
          <w:lang w:val="pt-BR"/>
        </w:rPr>
        <w:t>ORÇAMENTO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Seção I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 Apresentação do Orçamento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5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Os Orçamentos Fiscal e da Seguridade Social compreenderão a programação dos Poderes Executivo e Legislativo do Município, seus fundos, órgãos, autarquias e fundações instituídas e mantidas pelo Poder P</w:t>
      </w:r>
      <w:r>
        <w:rPr>
          <w:rFonts w:ascii="Arial" w:hAnsi="Arial" w:cs="Arial"/>
          <w:sz w:val="20"/>
          <w:szCs w:val="20"/>
          <w:lang w:val="pt-BR"/>
        </w:rPr>
        <w:t>úblico, bem como das empresas públicas, sociedades de economia mista e demais entidades em que o Município detenha, direta ou indiretamente, a maioria do capital social com direito a voto e que dela recebam recursos da Fazenda Municipal.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6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 orçament</w:t>
      </w:r>
      <w:r>
        <w:rPr>
          <w:rFonts w:ascii="Arial" w:hAnsi="Arial" w:cs="Arial"/>
          <w:sz w:val="20"/>
          <w:szCs w:val="20"/>
          <w:lang w:val="pt-BR"/>
        </w:rPr>
        <w:t>o discriminará a despesa por órgão e unidade orçamentária, detalhada por categoria de programação até o nível de modalidade de aplicação.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u w:val="single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Os Poderes discriminarão, por atos próprios, através do Quadro de Detalhamento da Despesa (QDD), os elementos e r</w:t>
      </w:r>
      <w:r>
        <w:rPr>
          <w:rFonts w:ascii="Arial" w:hAnsi="Arial" w:cs="Arial"/>
          <w:sz w:val="20"/>
          <w:szCs w:val="20"/>
          <w:lang w:val="pt-BR"/>
        </w:rPr>
        <w:t>espectivos desdobramentos.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2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 QDD e as vinculações orçamentárias (destinação e fonte de recursos) poderão ser alterados por ato dos Poderes para atendimento das necessidades de execução orçamentária.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Poder Executivo e o Poder Legislativo editarã</w:t>
      </w:r>
      <w:r>
        <w:rPr>
          <w:rFonts w:ascii="Arial" w:hAnsi="Arial" w:cs="Arial"/>
          <w:sz w:val="20"/>
          <w:szCs w:val="20"/>
        </w:rPr>
        <w:t>o Decreto e Resolução, respectivamente, em até 30 dias da promulgação da Lei do Orçamento</w:t>
      </w:r>
      <w:proofErr w:type="gramStart"/>
      <w:r>
        <w:rPr>
          <w:rFonts w:ascii="Arial" w:hAnsi="Arial" w:cs="Arial"/>
          <w:sz w:val="20"/>
          <w:szCs w:val="20"/>
        </w:rPr>
        <w:t xml:space="preserve"> ou antes</w:t>
      </w:r>
      <w:proofErr w:type="gramEnd"/>
      <w:r>
        <w:rPr>
          <w:rFonts w:ascii="Arial" w:hAnsi="Arial" w:cs="Arial"/>
          <w:sz w:val="20"/>
          <w:szCs w:val="20"/>
        </w:rPr>
        <w:t xml:space="preserve"> do início do exercício, estabelecendo o Quadro de Detalhamento da Despesa (QDD), que discriminará a classificação da despesa até o nível de elemento ou desdo</w:t>
      </w:r>
      <w:r>
        <w:rPr>
          <w:rFonts w:ascii="Arial" w:hAnsi="Arial" w:cs="Arial"/>
          <w:sz w:val="20"/>
          <w:szCs w:val="20"/>
        </w:rPr>
        <w:t>bramento.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7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 projeto de lei orçamentária que o Poder Executivo encaminhará ao Legislativo será constituído de:</w:t>
      </w:r>
    </w:p>
    <w:p w:rsidR="001954D1" w:rsidRDefault="00504B9E">
      <w:pPr>
        <w:pStyle w:val="Corpodetexto2"/>
        <w:spacing w:after="280" w:line="276" w:lineRule="auto"/>
        <w:ind w:firstLine="851"/>
        <w:rPr>
          <w:b w:val="0"/>
          <w:lang w:val="pt-BR"/>
        </w:rPr>
      </w:pPr>
      <w:r>
        <w:rPr>
          <w:b w:val="0"/>
          <w:lang w:val="pt-BR"/>
        </w:rPr>
        <w:t>I – tabelas explicativas da receita e da despesa do Município de forma integrada, inclusive metodologia e premissa de cálculos, nos termos</w:t>
      </w:r>
      <w:r>
        <w:rPr>
          <w:b w:val="0"/>
          <w:lang w:val="pt-BR"/>
        </w:rPr>
        <w:t xml:space="preserve"> do que dispõe o art. 12 da Lei Complementar </w:t>
      </w:r>
      <w:proofErr w:type="gramStart"/>
      <w:r>
        <w:rPr>
          <w:b w:val="0"/>
          <w:lang w:val="pt-BR"/>
        </w:rPr>
        <w:t>n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101</w:t>
      </w:r>
      <w:proofErr w:type="gramEnd"/>
      <w:r>
        <w:rPr>
          <w:b w:val="0"/>
          <w:lang w:val="pt-BR"/>
        </w:rPr>
        <w:t>, de 2000 e art. 22 da Lei n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4.320, de 1964;</w:t>
      </w:r>
    </w:p>
    <w:p w:rsidR="001954D1" w:rsidRDefault="00504B9E">
      <w:pPr>
        <w:pStyle w:val="Corpodetexto2"/>
        <w:spacing w:after="280" w:line="276" w:lineRule="auto"/>
        <w:ind w:firstLine="851"/>
        <w:rPr>
          <w:b w:val="0"/>
          <w:lang w:val="pt-BR"/>
        </w:rPr>
      </w:pPr>
      <w:r>
        <w:rPr>
          <w:b w:val="0"/>
          <w:lang w:val="pt-BR"/>
        </w:rPr>
        <w:t>II – anexos orçamentários n</w:t>
      </w:r>
      <w:r>
        <w:rPr>
          <w:b w:val="0"/>
          <w:u w:val="single"/>
          <w:vertAlign w:val="superscript"/>
          <w:lang w:val="pt-BR"/>
        </w:rPr>
        <w:t>os</w:t>
      </w:r>
      <w:r>
        <w:rPr>
          <w:b w:val="0"/>
          <w:lang w:val="pt-BR"/>
        </w:rPr>
        <w:t xml:space="preserve"> 1, 2, 6, 7, 8 e 9 da Lei n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4.320, de 1964;</w:t>
      </w:r>
    </w:p>
    <w:p w:rsidR="001954D1" w:rsidRDefault="00504B9E">
      <w:pPr>
        <w:pStyle w:val="Corpodetexto2"/>
        <w:spacing w:after="280" w:line="276" w:lineRule="auto"/>
        <w:ind w:firstLine="851"/>
        <w:rPr>
          <w:b w:val="0"/>
          <w:lang w:val="pt-BR"/>
        </w:rPr>
      </w:pPr>
      <w:r>
        <w:rPr>
          <w:b w:val="0"/>
          <w:lang w:val="pt-BR"/>
        </w:rPr>
        <w:t xml:space="preserve">III - descrição sucinta de cada unidade administrativa e de suas principais </w:t>
      </w:r>
      <w:r>
        <w:rPr>
          <w:b w:val="0"/>
          <w:lang w:val="pt-BR"/>
        </w:rPr>
        <w:t>finalidades com indicação da respectiva legislação (parágrafo único do art. 22 da Lei n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4.320, de 1964);</w:t>
      </w:r>
    </w:p>
    <w:p w:rsidR="001954D1" w:rsidRDefault="00504B9E">
      <w:pPr>
        <w:pStyle w:val="Corpodetexto2"/>
        <w:spacing w:after="280" w:line="276" w:lineRule="auto"/>
        <w:ind w:firstLine="851"/>
        <w:rPr>
          <w:b w:val="0"/>
          <w:lang w:val="pt-BR"/>
        </w:rPr>
      </w:pPr>
      <w:r>
        <w:rPr>
          <w:b w:val="0"/>
          <w:lang w:val="pt-BR"/>
        </w:rPr>
        <w:t>IV - quadro discriminativo da receita por fontes e respectiva legislação (inciso III, do § 1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>, do art. 2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da Lei n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4.320, de 1964);</w:t>
      </w:r>
    </w:p>
    <w:p w:rsidR="001954D1" w:rsidRDefault="00504B9E">
      <w:pPr>
        <w:pStyle w:val="Corpodetexto2"/>
        <w:spacing w:after="280" w:line="276" w:lineRule="auto"/>
        <w:ind w:firstLine="851"/>
        <w:rPr>
          <w:b w:val="0"/>
          <w:lang w:val="pt-BR"/>
        </w:rPr>
      </w:pPr>
      <w:r>
        <w:rPr>
          <w:b w:val="0"/>
          <w:lang w:val="pt-BR"/>
        </w:rPr>
        <w:lastRenderedPageBreak/>
        <w:t>V - quadros demon</w:t>
      </w:r>
      <w:r>
        <w:rPr>
          <w:b w:val="0"/>
          <w:lang w:val="pt-BR"/>
        </w:rPr>
        <w:t>strativos da receita e planos de aplicação dos fundos especiais (inciso I, do § 2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do art. 2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da Lei n</w:t>
      </w:r>
      <w:r>
        <w:rPr>
          <w:b w:val="0"/>
          <w:u w:val="single"/>
          <w:vertAlign w:val="superscript"/>
          <w:lang w:val="pt-BR"/>
        </w:rPr>
        <w:t>o</w:t>
      </w:r>
      <w:r>
        <w:rPr>
          <w:b w:val="0"/>
          <w:lang w:val="pt-BR"/>
        </w:rPr>
        <w:t xml:space="preserve"> 4.320, de 1964);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VI - demonstrativo da estimativa e compensação da renúncia da receita (Lei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art. 5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>, II)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VII - demonstrati</w:t>
      </w:r>
      <w:r>
        <w:rPr>
          <w:rFonts w:ascii="Arial" w:hAnsi="Arial" w:cs="Arial"/>
          <w:sz w:val="20"/>
          <w:szCs w:val="20"/>
          <w:lang w:val="pt-BR"/>
        </w:rPr>
        <w:t xml:space="preserve">vo da margem de expansão das despesas obrigatórias de caráter continuado (Lei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art. 5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>, II);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VIII – demonstrativo das aplicações nas Ações e Serviços Públicos de Saúde (ASPS);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IX - demonstrativo das aplicações na Manutenção e D</w:t>
      </w:r>
      <w:r>
        <w:rPr>
          <w:rFonts w:ascii="Arial" w:hAnsi="Arial" w:cs="Arial"/>
          <w:sz w:val="20"/>
          <w:szCs w:val="20"/>
          <w:lang w:val="pt-BR"/>
        </w:rPr>
        <w:t xml:space="preserve">esenvolvimento do Ensino (MDE) e 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Fundo de Manutenção e Desenvolvimento da Educação Básica e de Valorização dos Profissionais da Educação</w:t>
      </w:r>
      <w:r>
        <w:rPr>
          <w:rFonts w:ascii="Arial" w:hAnsi="Arial" w:cs="Arial"/>
          <w:sz w:val="20"/>
          <w:szCs w:val="20"/>
          <w:lang w:val="pt-BR"/>
        </w:rPr>
        <w:t xml:space="preserve"> (FUNDEB);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X - anexo de compatibilidade do orçamento com o anexo de metas fiscais (Lei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art. 5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>, I);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XI – anexo demonstrativo da receita corrente líquida (Lei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art. 12, § 3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>);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XII – anexo demonstrativo da despesa com pessoal do Executivo, do Legislativo e consolidado do Município;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XIII – anexo demon</w:t>
      </w:r>
      <w:r>
        <w:rPr>
          <w:rFonts w:ascii="Arial" w:hAnsi="Arial" w:cs="Arial"/>
          <w:sz w:val="20"/>
          <w:szCs w:val="20"/>
          <w:lang w:val="pt-BR"/>
        </w:rPr>
        <w:t>strativo dos limites do Poder Legislativo: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A mensagem que encaminhar o projeto de lei orçamentária conterá: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 - exposição circunstanciada da situação econômico-financeira informando saldos de créditos especiais, situação esperada dos restos a pagar ao</w:t>
      </w:r>
      <w:r>
        <w:rPr>
          <w:rFonts w:ascii="Arial" w:hAnsi="Arial" w:cs="Arial"/>
          <w:sz w:val="20"/>
          <w:szCs w:val="20"/>
          <w:lang w:val="pt-BR"/>
        </w:rPr>
        <w:t xml:space="preserve"> final do exercício e outros compromissos financeiros exigíveis;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justificativa (metodologia de cálculo) sobre a estimativa e da fixação, respectivamente, da receita e da despesa.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envio do projeto de lei, bem como os anexos orçamentários pelo Poder Executivo e o autógrafo elaborado pelo Poder Legislativo, deverá se dar, preferencialmente, em meio eletrônico.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Poder Executivo colocará à disposição do Poder Legislativo, no mí</w:t>
      </w:r>
      <w:r>
        <w:rPr>
          <w:rFonts w:ascii="Arial" w:hAnsi="Arial" w:cs="Arial"/>
          <w:sz w:val="20"/>
          <w:szCs w:val="20"/>
        </w:rPr>
        <w:t>nimo trinta dias antes do prazo final para encaminhamento de sua proposta orçamentária, os estudos e as estimativas das receitas tributárias e transferências arrecadadas com a estimativa de arrecadação até o final do exercício corrente, bem como a previsão</w:t>
      </w:r>
      <w:r>
        <w:rPr>
          <w:rFonts w:ascii="Arial" w:hAnsi="Arial" w:cs="Arial"/>
          <w:sz w:val="20"/>
          <w:szCs w:val="20"/>
        </w:rPr>
        <w:t xml:space="preserve"> da receita corrente líquida prevista para o exercício a que se refere à proposta orçamentária e as respectivas memórias de cálculo.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>Seção II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Do Equilíbrio entre Receitas e Despesas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8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A Lei Orçamentária conterá reserva de contingência constituída de </w:t>
      </w:r>
      <w:r>
        <w:rPr>
          <w:rFonts w:ascii="Arial" w:hAnsi="Arial" w:cs="Arial"/>
          <w:sz w:val="20"/>
          <w:szCs w:val="20"/>
          <w:lang w:val="pt-BR"/>
        </w:rPr>
        <w:t>dotação global e corresponderá, na lei orçamentária a, no mínimo, 0,1% da receita corrente líquida prevista para o Município, destinada ao atendimento de passivos contingentes e eventos fiscais imprevistos, nos termos do art. 5º, inciso III, da Lei Complem</w:t>
      </w:r>
      <w:r>
        <w:rPr>
          <w:rFonts w:ascii="Arial" w:hAnsi="Arial" w:cs="Arial"/>
          <w:sz w:val="20"/>
          <w:szCs w:val="20"/>
          <w:lang w:val="pt-BR"/>
        </w:rPr>
        <w:t>entar nº 101.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1º. A lei orçamentária conterá também reserva de contingência destinada: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 - a servir de cobertura para créditos adicionais durante o exercício;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 – a equilibrar o orçamento do RPPS – Regime Próprio de Previdência Social.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2º. A partir do</w:t>
      </w:r>
      <w:r>
        <w:rPr>
          <w:rFonts w:ascii="Arial" w:hAnsi="Arial" w:cs="Arial"/>
          <w:sz w:val="20"/>
          <w:szCs w:val="20"/>
          <w:lang w:val="pt-BR"/>
        </w:rPr>
        <w:t xml:space="preserve"> dia 15 do mês de dezembro de 2022 o saldo da reserva de contingência destinada para o atendimento de passivos contingentes e eventos fiscais imprevistos poderá ser utilizada livremente como fonte de recursos para a abertura de créditos adicionais.</w:t>
      </w:r>
    </w:p>
    <w:p w:rsidR="001954D1" w:rsidRDefault="00504B9E">
      <w:pPr>
        <w:pStyle w:val="Corpodetexto3"/>
        <w:spacing w:before="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9º</w:t>
      </w:r>
      <w:r>
        <w:rPr>
          <w:rFonts w:ascii="Arial" w:hAnsi="Arial" w:cs="Arial"/>
          <w:sz w:val="20"/>
          <w:szCs w:val="20"/>
          <w:lang w:val="pt-BR"/>
        </w:rPr>
        <w:t xml:space="preserve">. Para os efeitos do art. 16 da 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§ 3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>, são consideradas despesas irrelevantes aquelas cujos valores não ultrapassarem os limites a que se referem os incisos I, II do art. 24 da Lei 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8.666, de 1993.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10. O Poder Execut</w:t>
      </w:r>
      <w:r>
        <w:rPr>
          <w:rFonts w:ascii="Arial" w:hAnsi="Arial" w:cs="Arial"/>
          <w:sz w:val="20"/>
          <w:szCs w:val="20"/>
          <w:lang w:val="pt-BR"/>
        </w:rPr>
        <w:t>ivo elaborará e publicará, até trinta dias após a publicação da lei orçamentária, cronograma de desembolso mensal para o exercício, nos termos do art. 8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da 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, de 2000, com vistas a manter durante a execução orçamentária o equilíbrio </w:t>
      </w:r>
      <w:r>
        <w:rPr>
          <w:rFonts w:ascii="Arial" w:hAnsi="Arial" w:cs="Arial"/>
          <w:sz w:val="20"/>
          <w:szCs w:val="20"/>
          <w:lang w:val="pt-BR"/>
        </w:rPr>
        <w:t>entre as contas e a regularidade das operações orçamentárias, bem como garantir o atingimento das metas de resultado primário e nominal.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Para fins de elaboração da Programação Financeira e Cronograma de Desembolso do Poder Executivo, o Poder Legislativo e as entidades da Administração Indireta, em até 10 (dez) dias da publicação da Lei Orçamentária, encaminharão ao Executivo a sua proposta</w:t>
      </w:r>
      <w:r>
        <w:rPr>
          <w:rFonts w:ascii="Arial" w:hAnsi="Arial" w:cs="Arial"/>
          <w:sz w:val="20"/>
          <w:szCs w:val="20"/>
          <w:lang w:val="pt-BR"/>
        </w:rPr>
        <w:t xml:space="preserve"> parcial, para efeitos de integração.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iCs/>
          <w:sz w:val="20"/>
          <w:szCs w:val="20"/>
          <w:lang w:val="pt-BR"/>
        </w:rPr>
        <w:t>§ 2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iCs/>
          <w:sz w:val="20"/>
          <w:szCs w:val="20"/>
          <w:lang w:val="pt-BR"/>
        </w:rPr>
        <w:t xml:space="preserve"> As receitas previstas serão desdobradas, pelo Poder Executivo, em metas mensais de arrecadação por destinação de recursos com a especificação, em separado, das medidas de combate à evasão e à sonegação, da quantid</w:t>
      </w:r>
      <w:r>
        <w:rPr>
          <w:rFonts w:ascii="Arial" w:hAnsi="Arial" w:cs="Arial"/>
          <w:iCs/>
          <w:sz w:val="20"/>
          <w:szCs w:val="20"/>
          <w:lang w:val="pt-BR"/>
        </w:rPr>
        <w:t>ade e valores de ações ajuizadas para cobrança da dívida ativa, bem como da evolução do montante dos créditos tributários passíveis de cobrança administrativa.</w:t>
      </w:r>
    </w:p>
    <w:p w:rsidR="001954D1" w:rsidRDefault="00504B9E">
      <w:pPr>
        <w:pStyle w:val="Ttulo2"/>
        <w:spacing w:before="0" w:after="280" w:line="276" w:lineRule="auto"/>
        <w:jc w:val="center"/>
        <w:rPr>
          <w:rFonts w:cs="Arial"/>
          <w:b w:val="0"/>
          <w:bCs w:val="0"/>
          <w:color w:val="000000"/>
          <w:sz w:val="20"/>
          <w:szCs w:val="20"/>
        </w:rPr>
      </w:pPr>
      <w:r>
        <w:rPr>
          <w:rFonts w:cs="Arial"/>
          <w:b w:val="0"/>
          <w:bCs w:val="0"/>
          <w:color w:val="000000"/>
          <w:sz w:val="20"/>
          <w:szCs w:val="20"/>
        </w:rPr>
        <w:t>Seção III</w:t>
      </w:r>
    </w:p>
    <w:p w:rsidR="001954D1" w:rsidRDefault="00504B9E">
      <w:pPr>
        <w:pStyle w:val="Standard"/>
        <w:spacing w:after="280" w:line="276" w:lineRule="auto"/>
        <w:jc w:val="center"/>
        <w:outlineLvl w:val="5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Dos Recursos Correspondentes às Dotações Orçamentárias Compreendidas os Créditos Adici</w:t>
      </w:r>
      <w:r>
        <w:rPr>
          <w:rFonts w:ascii="Arial" w:hAnsi="Arial" w:cs="Arial"/>
          <w:sz w:val="20"/>
          <w:szCs w:val="20"/>
          <w:lang w:val="pt-BR"/>
        </w:rPr>
        <w:t>onais Destinados ao Poder Legislativo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>Art. 11. Os valores correspondentes ao duodécimo do Poder Legislativo serão repassados conforme a programação financeira elaborada por este Poder.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Parágrafo único. Em caso da </w:t>
      </w:r>
      <w:proofErr w:type="gramStart"/>
      <w:r>
        <w:rPr>
          <w:rFonts w:ascii="Arial" w:hAnsi="Arial"/>
          <w:sz w:val="20"/>
          <w:szCs w:val="20"/>
          <w:lang w:val="pt-BR"/>
        </w:rPr>
        <w:t>não-elaboração</w:t>
      </w:r>
      <w:proofErr w:type="gramEnd"/>
      <w:r>
        <w:rPr>
          <w:rFonts w:ascii="Arial" w:hAnsi="Arial"/>
          <w:sz w:val="20"/>
          <w:szCs w:val="20"/>
          <w:lang w:val="pt-BR"/>
        </w:rPr>
        <w:t xml:space="preserve"> do cronograma de desembolso,</w:t>
      </w:r>
      <w:r>
        <w:rPr>
          <w:rFonts w:ascii="Arial" w:hAnsi="Arial"/>
          <w:sz w:val="20"/>
          <w:szCs w:val="20"/>
          <w:lang w:val="pt-BR"/>
        </w:rPr>
        <w:t xml:space="preserve"> os duodécimos ao Legislativo se darão na forma de parcelas mensais iguais e sucessivas.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12. Ao final do exercício financeiro o saldo de recursos em caixa ou equivalente de caixa do Legislativo será devolvido ao Poder Executivo, deduzidos os valores c</w:t>
      </w:r>
      <w:r>
        <w:rPr>
          <w:rFonts w:ascii="Arial" w:hAnsi="Arial" w:cs="Arial"/>
          <w:sz w:val="20"/>
          <w:szCs w:val="20"/>
        </w:rPr>
        <w:t>orrespondentes ao saldo do passivo financeiro, considerando-se somente as contas do Poder Legislativo, podendo, ainda, ser contabilizados como adiantamento de repasses para o próximo exercício.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Parágrafo único. As arrecadações de imposto de renda retido na</w:t>
      </w:r>
      <w:r>
        <w:rPr>
          <w:rFonts w:ascii="Arial" w:hAnsi="Arial" w:cs="Arial"/>
          <w:sz w:val="20"/>
          <w:szCs w:val="20"/>
          <w:lang w:val="pt-BR"/>
        </w:rPr>
        <w:t xml:space="preserve"> fonte, rendimentos de aplicações financeiras e outras que venham a ingressar nos cofres públicos por intermédio do Legislativo, serão contabilizadas no Executivo como receita municipal e, concomitantemente, como adiantamento de repasse mensal no Executivo</w:t>
      </w:r>
      <w:r>
        <w:rPr>
          <w:rFonts w:ascii="Arial" w:hAnsi="Arial" w:cs="Arial"/>
          <w:sz w:val="20"/>
          <w:szCs w:val="20"/>
          <w:lang w:val="pt-BR"/>
        </w:rPr>
        <w:t xml:space="preserve"> e no Legislativo.</w:t>
      </w:r>
    </w:p>
    <w:p w:rsidR="001954D1" w:rsidRDefault="00504B9E">
      <w:pPr>
        <w:pStyle w:val="bodytext2"/>
        <w:spacing w:before="0" w:line="276" w:lineRule="auto"/>
        <w:jc w:val="center"/>
        <w:outlineLvl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Seção IV</w:t>
      </w:r>
    </w:p>
    <w:p w:rsidR="001954D1" w:rsidRDefault="00504B9E">
      <w:pPr>
        <w:pStyle w:val="bodytext2"/>
        <w:spacing w:before="0" w:line="276" w:lineRule="auto"/>
        <w:jc w:val="center"/>
        <w:outlineLvl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Normas Relativas ao Controle de Custos e avaliação dos Resultados dos programas financiados com recursos dos orçamentos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13. Nos termos da Constituição Federal, art. 37, XVI, o poder Executivo divulgará em seu sítio ofic</w:t>
      </w:r>
      <w:r>
        <w:rPr>
          <w:rFonts w:ascii="Arial" w:hAnsi="Arial" w:cs="Arial"/>
          <w:sz w:val="20"/>
          <w:szCs w:val="20"/>
          <w:lang w:val="pt-BR"/>
        </w:rPr>
        <w:t>ial, no mesmo período de divulgação do RGF – Relatório de Gestão Fiscal a avaliação de suas políticas públicas.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Parágrafo único. A avaliação das políticas públicas de que trata o caput se dará pela variação dos indicadores de desempenho associados aos obje</w:t>
      </w:r>
      <w:r>
        <w:rPr>
          <w:rFonts w:ascii="Arial" w:hAnsi="Arial" w:cs="Arial"/>
          <w:sz w:val="20"/>
          <w:szCs w:val="20"/>
          <w:lang w:val="pt-BR"/>
        </w:rPr>
        <w:t>tivos dos programas de governo estabelecidos no plano plurianual.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14. O controle de custos de que trata o art. 4º, I, “e” da LC nº 101/2000 considerará o princípio da competência da despesa.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Parágrafo único. O sistema de custos deve apurar o custo dos</w:t>
      </w:r>
      <w:r>
        <w:rPr>
          <w:rFonts w:ascii="Arial" w:hAnsi="Arial" w:cs="Arial"/>
          <w:sz w:val="20"/>
          <w:szCs w:val="20"/>
          <w:lang w:val="pt-BR"/>
        </w:rPr>
        <w:t xml:space="preserve"> produtos e serviços oferecidos à sociedade, previstos nas ações orçamentárias finalísticas.</w:t>
      </w:r>
    </w:p>
    <w:p w:rsidR="001954D1" w:rsidRDefault="00504B9E">
      <w:pPr>
        <w:pStyle w:val="Ttulo5"/>
        <w:spacing w:before="0" w:after="280" w:line="276" w:lineRule="auto"/>
        <w:ind w:left="0" w:firstLine="0"/>
        <w:jc w:val="center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Seção V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 Disposição Sobre Novos Projetos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15. Além da observância das prioridades e metas de que trata esta Lei, a lei orçamentária e seus créditos adicionai</w:t>
      </w:r>
      <w:r>
        <w:rPr>
          <w:rFonts w:ascii="Arial" w:hAnsi="Arial" w:cs="Arial"/>
          <w:sz w:val="20"/>
          <w:szCs w:val="20"/>
          <w:lang w:val="pt-BR"/>
        </w:rPr>
        <w:t>s, somente incluirão projetos novos após: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I - tiverem sido adequadamente contemplados todos os projetos em andamento com recursos necessários ao término ou a obtenção de uma unidade completa;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 xml:space="preserve">II – estiverem assegurados os recursos de manutenção do </w:t>
      </w:r>
      <w:r>
        <w:rPr>
          <w:rFonts w:ascii="Arial" w:hAnsi="Arial" w:cs="Arial"/>
          <w:sz w:val="20"/>
          <w:szCs w:val="20"/>
          <w:lang w:val="pt-BR"/>
        </w:rPr>
        <w:t>patrimônio público e, efetivamente, o Poder Público estiver adotando as medidas necessárias para tanto.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Parágrafo único. Não constitui infração a este artigo o início de novo projeto, mesmo possuindo outros projetos em andamento, caso haja suficiente previ</w:t>
      </w:r>
      <w:r>
        <w:rPr>
          <w:rFonts w:ascii="Arial" w:hAnsi="Arial" w:cs="Arial"/>
          <w:sz w:val="20"/>
          <w:szCs w:val="20"/>
          <w:lang w:val="pt-BR"/>
        </w:rPr>
        <w:t>são de recursos orçamentários e financeiros para o atendimento dos projetos em andamento e novos.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proofErr w:type="gramStart"/>
      <w:r>
        <w:rPr>
          <w:rFonts w:ascii="Arial" w:hAnsi="Arial" w:cs="Arial"/>
          <w:sz w:val="20"/>
          <w:szCs w:val="20"/>
          <w:lang w:val="pt-BR"/>
        </w:rPr>
        <w:t>Seção VI</w:t>
      </w:r>
      <w:proofErr w:type="gramEnd"/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 Transferência de Recursos para outros Entes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Art. 16. Para fins de cumprimento do art. 62 da Lei Complementar </w:t>
      </w:r>
      <w:proofErr w:type="gramStart"/>
      <w:r>
        <w:rPr>
          <w:rFonts w:ascii="Arial" w:hAnsi="Arial"/>
          <w:sz w:val="20"/>
          <w:szCs w:val="20"/>
          <w:lang w:val="pt-BR"/>
        </w:rPr>
        <w:t>n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/>
          <w:sz w:val="20"/>
          <w:szCs w:val="20"/>
          <w:lang w:val="pt-BR"/>
        </w:rPr>
        <w:t>, de 2000, fica o Município aut</w:t>
      </w:r>
      <w:r>
        <w:rPr>
          <w:rFonts w:ascii="Arial" w:hAnsi="Arial"/>
          <w:sz w:val="20"/>
          <w:szCs w:val="20"/>
          <w:lang w:val="pt-BR"/>
        </w:rPr>
        <w:t>orizado a firmar convênio ou congêneres, com a União ou o Estado, com vistas ao desenvolvimento local e objetivos definidos em lei específica.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Seção VII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 Transferência de Recursos para as Entidades da Administração Indireta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Art. 17. O Município poderá ef</w:t>
      </w:r>
      <w:r>
        <w:rPr>
          <w:rFonts w:ascii="Arial" w:hAnsi="Arial"/>
          <w:sz w:val="20"/>
          <w:szCs w:val="20"/>
          <w:lang w:val="pt-BR"/>
        </w:rPr>
        <w:t>etuar transferências financeiras, autorizadas em lei específica, conforme preconiza a Constituição da República, art. 167, VIII, a entidades da Administração Indireta até os limites necessários à manutenção das entidades ou investimentos previstos e que nã</w:t>
      </w:r>
      <w:r>
        <w:rPr>
          <w:rFonts w:ascii="Arial" w:hAnsi="Arial"/>
          <w:sz w:val="20"/>
          <w:szCs w:val="20"/>
          <w:lang w:val="pt-BR"/>
        </w:rPr>
        <w:t>o haja suficiente disponibilidade financeira, respeitados os limites orçamentários das entidades.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Seção VIII</w:t>
      </w:r>
    </w:p>
    <w:p w:rsidR="001954D1" w:rsidRDefault="00504B9E">
      <w:pPr>
        <w:pStyle w:val="Ttulo5"/>
        <w:keepNext w:val="0"/>
        <w:spacing w:before="0" w:after="280" w:line="276" w:lineRule="auto"/>
        <w:ind w:left="0" w:firstLine="0"/>
        <w:jc w:val="center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Das Transferências de Recursos para o Setor Privado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Art. 18. A transferência de recursos a organizações da sociedade civil sem fins lucrativos </w:t>
      </w:r>
      <w:r>
        <w:rPr>
          <w:rFonts w:ascii="Arial" w:hAnsi="Arial" w:cs="Arial"/>
          <w:sz w:val="20"/>
          <w:szCs w:val="20"/>
          <w:lang w:val="pt-BR"/>
        </w:rPr>
        <w:t>ocorrerá de acordo com a Lei 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13.019, de 31 de julho de 2014.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19. O auxílio para pessoas físicas dependerá de interesse público motivado, plano de aplicação, lei específica e prestação de contas.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20. A transferência de recursos públicos para co</w:t>
      </w:r>
      <w:r>
        <w:rPr>
          <w:rFonts w:ascii="Arial" w:hAnsi="Arial" w:cs="Arial"/>
          <w:sz w:val="20"/>
          <w:szCs w:val="20"/>
          <w:lang w:val="pt-BR"/>
        </w:rPr>
        <w:t xml:space="preserve">brir déficits de pessoas jurídicas com a finalidade de conceder benefícios fiscais ou econômicos, além das condições fiscais previstas no art. 14 da Lei de Responsabilidade Fiscal, deverá ser autorizada por lei específica e se dar em conformidade ao plano </w:t>
      </w:r>
      <w:r>
        <w:rPr>
          <w:rFonts w:ascii="Arial" w:hAnsi="Arial" w:cs="Arial"/>
          <w:sz w:val="20"/>
          <w:szCs w:val="20"/>
          <w:lang w:val="pt-BR"/>
        </w:rPr>
        <w:t>de incentivos definido em lei local.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21. No que se refere à concessão de empréstimos destinados a pessoas físicas e jurídicas, além do pagamento dos encargos financeiros de juros não inferiores a 12% (doze por cento) ao ano ou ao custo de captação, no</w:t>
      </w:r>
      <w:r>
        <w:rPr>
          <w:rFonts w:ascii="Arial" w:hAnsi="Arial" w:cs="Arial"/>
          <w:sz w:val="20"/>
          <w:szCs w:val="20"/>
          <w:lang w:val="pt-BR"/>
        </w:rPr>
        <w:t xml:space="preserve">s termos do que dispõe o art. 27 da 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estes ficam condicionados ainda a:</w:t>
      </w:r>
    </w:p>
    <w:p w:rsidR="001954D1" w:rsidRPr="00750E2D" w:rsidRDefault="00504B9E">
      <w:pPr>
        <w:pStyle w:val="Standard"/>
        <w:widowControl/>
        <w:numPr>
          <w:ilvl w:val="0"/>
          <w:numId w:val="8"/>
        </w:numPr>
        <w:tabs>
          <w:tab w:val="left" w:pos="1260"/>
        </w:tabs>
        <w:spacing w:line="276" w:lineRule="auto"/>
        <w:ind w:left="0" w:firstLine="851"/>
        <w:jc w:val="both"/>
        <w:rPr>
          <w:lang w:val="pt-BR"/>
        </w:rPr>
      </w:pPr>
      <w:proofErr w:type="gramStart"/>
      <w:r>
        <w:rPr>
          <w:rFonts w:ascii="Arial" w:hAnsi="Arial" w:cs="Arial"/>
          <w:sz w:val="20"/>
          <w:szCs w:val="20"/>
          <w:lang w:val="pt-BR"/>
        </w:rPr>
        <w:lastRenderedPageBreak/>
        <w:t>formalização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de contrato ou congênere;</w:t>
      </w:r>
    </w:p>
    <w:p w:rsidR="001954D1" w:rsidRDefault="00504B9E">
      <w:pPr>
        <w:pStyle w:val="Standard"/>
        <w:widowControl/>
        <w:numPr>
          <w:ilvl w:val="0"/>
          <w:numId w:val="9"/>
        </w:numPr>
        <w:tabs>
          <w:tab w:val="left" w:pos="1260"/>
        </w:tabs>
        <w:spacing w:line="276" w:lineRule="auto"/>
        <w:ind w:left="0"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 aprovação de projeto de investimentos pelo Poder Público;</w:t>
      </w:r>
    </w:p>
    <w:p w:rsidR="001954D1" w:rsidRDefault="00504B9E">
      <w:pPr>
        <w:pStyle w:val="Standard"/>
        <w:widowControl/>
        <w:numPr>
          <w:ilvl w:val="0"/>
          <w:numId w:val="9"/>
        </w:numPr>
        <w:tabs>
          <w:tab w:val="left" w:pos="1260"/>
        </w:tabs>
        <w:spacing w:line="276" w:lineRule="auto"/>
        <w:ind w:left="0"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III acompanhamento da execução;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</w:p>
    <w:p w:rsidR="001954D1" w:rsidRDefault="00504B9E">
      <w:pPr>
        <w:pStyle w:val="Standard"/>
        <w:widowControl/>
        <w:numPr>
          <w:ilvl w:val="0"/>
          <w:numId w:val="9"/>
        </w:numPr>
        <w:tabs>
          <w:tab w:val="left" w:pos="1260"/>
        </w:tabs>
        <w:spacing w:after="280" w:line="276" w:lineRule="auto"/>
        <w:ind w:left="0"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IV prestação de c</w:t>
      </w:r>
      <w:r>
        <w:rPr>
          <w:rFonts w:ascii="Arial" w:hAnsi="Arial" w:cs="Arial"/>
          <w:sz w:val="20"/>
          <w:szCs w:val="20"/>
          <w:lang w:val="pt-BR"/>
        </w:rPr>
        <w:t>ontas.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Parágrafo único. Lei específica poderá, conforme possibilita o parágrafo único do art. 27 da Lei Complementar </w:t>
      </w:r>
      <w:proofErr w:type="gramStart"/>
      <w:r>
        <w:rPr>
          <w:rFonts w:ascii="Arial" w:hAnsi="Arial"/>
          <w:sz w:val="20"/>
          <w:szCs w:val="20"/>
          <w:lang w:val="pt-BR"/>
        </w:rPr>
        <w:t>n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/>
          <w:sz w:val="20"/>
          <w:szCs w:val="20"/>
          <w:lang w:val="pt-BR"/>
        </w:rPr>
        <w:t>, de 2000, estabelecer subsídio para empréstimos de que trata o inciso III deste artigo.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Seção IX</w:t>
      </w:r>
    </w:p>
    <w:p w:rsidR="001954D1" w:rsidRDefault="00504B9E">
      <w:pPr>
        <w:pStyle w:val="Ttulo5"/>
        <w:spacing w:before="0" w:after="280" w:line="276" w:lineRule="auto"/>
        <w:ind w:left="0" w:firstLine="0"/>
        <w:jc w:val="center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Dos Créditos Adicionais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22. Os</w:t>
      </w:r>
      <w:r>
        <w:rPr>
          <w:rFonts w:ascii="Arial" w:hAnsi="Arial" w:cs="Arial"/>
          <w:sz w:val="20"/>
          <w:szCs w:val="20"/>
          <w:lang w:val="pt-BR"/>
        </w:rPr>
        <w:t xml:space="preserve"> projetos de lei relativos a créditos adicionais serão apresentados com a classificação da estrutura programática da mesma forma que apresentado na lei orçamentária anual, observado o art. 12 da 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§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Os créditos adicionais especiais e extraordinários, se abertos nos últimos quatro meses do exercício imediatamente anterior, poderão ser reabertos pelos seus saldos, no exercício a que se refere esta Lei, por decreto do Poder Executivo, mediante a indicaç</w:t>
      </w:r>
      <w:r>
        <w:rPr>
          <w:rFonts w:ascii="Arial" w:hAnsi="Arial" w:cs="Arial"/>
          <w:sz w:val="20"/>
          <w:szCs w:val="20"/>
          <w:lang w:val="pt-BR"/>
        </w:rPr>
        <w:t>ão de recursos do exercício em que o crédito for aberto, desde que já exista previsão na lei que dispõe sobre o plano plurianual e no anexo de metas e prioridades desta Lei.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§ 2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Acompanharão os projetos de lei relativos a créditos adicionais: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I - as expos</w:t>
      </w:r>
      <w:r>
        <w:rPr>
          <w:rFonts w:ascii="Arial" w:hAnsi="Arial"/>
          <w:sz w:val="20"/>
          <w:szCs w:val="20"/>
          <w:lang w:val="pt-BR"/>
        </w:rPr>
        <w:t>ições dos motivos que os justifiquem;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II – memória de cálculo em caso de excesso de arrecadação;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III – balanço patrimonial, em caso de a fonte for o superávit financeiro do exercício anterior, separando os recursos conforme sua destinação e fonte.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§ 3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No </w:t>
      </w:r>
      <w:r>
        <w:rPr>
          <w:rFonts w:ascii="Arial" w:hAnsi="Arial"/>
          <w:sz w:val="20"/>
          <w:szCs w:val="20"/>
          <w:lang w:val="pt-BR"/>
        </w:rPr>
        <w:t xml:space="preserve">Poder </w:t>
      </w:r>
      <w:proofErr w:type="gramStart"/>
      <w:r>
        <w:rPr>
          <w:rFonts w:ascii="Arial" w:hAnsi="Arial"/>
          <w:sz w:val="20"/>
          <w:szCs w:val="20"/>
          <w:lang w:val="pt-BR"/>
        </w:rPr>
        <w:t>Legislativo os créditos adicionais suplementares com indicação de recursos compensatórios do seu próprio orçamento, nos termos do art. 43, §</w:t>
      </w:r>
      <w:proofErr w:type="gramEnd"/>
      <w:r>
        <w:rPr>
          <w:rFonts w:ascii="Arial" w:hAnsi="Arial"/>
          <w:sz w:val="20"/>
          <w:szCs w:val="20"/>
          <w:lang w:val="pt-BR"/>
        </w:rPr>
        <w:t xml:space="preserve"> 1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>, inciso III, da Lei n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4.320, de 1964, serão abertos por aquele Poder por Resolução.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§ 4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A abertura ou re</w:t>
      </w:r>
      <w:r>
        <w:rPr>
          <w:rFonts w:ascii="Arial" w:hAnsi="Arial"/>
          <w:sz w:val="20"/>
          <w:szCs w:val="20"/>
          <w:lang w:val="pt-BR"/>
        </w:rPr>
        <w:t>abertura de crédito adicional importa automática modificação do Quadro de Detalhamento da Despesa (QDD), a ser editada por Decreto ou Resolução, conforme o Poder.</w:t>
      </w:r>
    </w:p>
    <w:p w:rsidR="001954D1" w:rsidRDefault="00504B9E">
      <w:pPr>
        <w:pStyle w:val="Textbodyindent"/>
        <w:spacing w:after="280" w:line="276" w:lineRule="auto"/>
        <w:ind w:right="0" w:firstLine="0"/>
        <w:jc w:val="center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Seção X</w:t>
      </w:r>
    </w:p>
    <w:p w:rsidR="001954D1" w:rsidRDefault="00504B9E">
      <w:pPr>
        <w:pStyle w:val="Textbodyindent"/>
        <w:spacing w:after="280" w:line="276" w:lineRule="auto"/>
        <w:ind w:right="0" w:firstLine="0"/>
        <w:jc w:val="center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Da Transposição, Remanejamento e </w:t>
      </w:r>
      <w:proofErr w:type="gramStart"/>
      <w:r>
        <w:rPr>
          <w:rFonts w:ascii="Arial" w:hAnsi="Arial"/>
          <w:sz w:val="20"/>
          <w:szCs w:val="20"/>
          <w:lang w:val="pt-BR"/>
        </w:rPr>
        <w:t>Transferência</w:t>
      </w:r>
      <w:proofErr w:type="gramEnd"/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Art. 23. Fica o Poder Executivo, media</w:t>
      </w:r>
      <w:r>
        <w:rPr>
          <w:rFonts w:ascii="Arial" w:hAnsi="Arial"/>
          <w:sz w:val="20"/>
          <w:szCs w:val="20"/>
          <w:lang w:val="pt-BR"/>
        </w:rPr>
        <w:t xml:space="preserve">nte decreto, autorizado a efetuar transposição, </w:t>
      </w:r>
      <w:r>
        <w:rPr>
          <w:rFonts w:ascii="Arial" w:hAnsi="Arial"/>
          <w:sz w:val="20"/>
          <w:szCs w:val="20"/>
          <w:lang w:val="pt-BR"/>
        </w:rPr>
        <w:lastRenderedPageBreak/>
        <w:t>remanejamento e transferências de dotações orçamentárias.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§ 1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A transposição, remanejamento e transferência são instrumentos de </w:t>
      </w:r>
      <w:proofErr w:type="gramStart"/>
      <w:r>
        <w:rPr>
          <w:rFonts w:ascii="Arial" w:hAnsi="Arial"/>
          <w:sz w:val="20"/>
          <w:szCs w:val="20"/>
          <w:lang w:val="pt-BR"/>
        </w:rPr>
        <w:t>flexibilização</w:t>
      </w:r>
      <w:proofErr w:type="gramEnd"/>
      <w:r>
        <w:rPr>
          <w:rFonts w:ascii="Arial" w:hAnsi="Arial"/>
          <w:sz w:val="20"/>
          <w:szCs w:val="20"/>
          <w:lang w:val="pt-BR"/>
        </w:rPr>
        <w:t xml:space="preserve"> orçamentária, diferenciando-se dos créditos adicionais que têm a</w:t>
      </w:r>
      <w:r>
        <w:rPr>
          <w:rFonts w:ascii="Arial" w:hAnsi="Arial"/>
          <w:sz w:val="20"/>
          <w:szCs w:val="20"/>
          <w:lang w:val="pt-BR"/>
        </w:rPr>
        <w:t xml:space="preserve"> função de corrigir o planejamento.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§ 2</w:t>
      </w:r>
      <w:r>
        <w:rPr>
          <w:rFonts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/>
          <w:sz w:val="20"/>
          <w:szCs w:val="20"/>
          <w:lang w:val="pt-BR"/>
        </w:rPr>
        <w:t xml:space="preserve"> Para efeitos desta Lei entende-se como: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I – transposições: movimentações dentro de um mesmo órgão, podendo ser entre programas diferentes ou não, mediante alteração de prioridades de execução ou transferência de sal</w:t>
      </w:r>
      <w:r>
        <w:rPr>
          <w:rFonts w:ascii="Arial" w:hAnsi="Arial"/>
          <w:sz w:val="20"/>
          <w:szCs w:val="20"/>
          <w:lang w:val="pt-BR"/>
        </w:rPr>
        <w:t>dos de projetos ou atividades já encerrados ou que não serão mais utilizados;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II – remanejamentos: realocações entre </w:t>
      </w:r>
      <w:proofErr w:type="gramStart"/>
      <w:r>
        <w:rPr>
          <w:rFonts w:ascii="Arial" w:hAnsi="Arial"/>
          <w:sz w:val="20"/>
          <w:szCs w:val="20"/>
          <w:lang w:val="pt-BR"/>
        </w:rPr>
        <w:t>órgão diversos derivados de reformas administrativas ou alterações em lotações de servidores</w:t>
      </w:r>
      <w:proofErr w:type="gramEnd"/>
      <w:r>
        <w:rPr>
          <w:rFonts w:ascii="Arial" w:hAnsi="Arial"/>
          <w:sz w:val="20"/>
          <w:szCs w:val="20"/>
          <w:lang w:val="pt-BR"/>
        </w:rPr>
        <w:t>;</w:t>
      </w:r>
    </w:p>
    <w:p w:rsidR="001954D1" w:rsidRDefault="00504B9E">
      <w:pPr>
        <w:pStyle w:val="Textbodyindent"/>
        <w:spacing w:after="280" w:line="276" w:lineRule="auto"/>
        <w:ind w:right="0" w:firstLine="851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III – transferências: alterações entre projet</w:t>
      </w:r>
      <w:r>
        <w:rPr>
          <w:rFonts w:ascii="Arial" w:hAnsi="Arial"/>
          <w:sz w:val="20"/>
          <w:szCs w:val="20"/>
          <w:lang w:val="pt-BR"/>
        </w:rPr>
        <w:t>os e atividades dentro de um mesmo órgão e um mesmo programa.</w:t>
      </w:r>
    </w:p>
    <w:p w:rsidR="001954D1" w:rsidRDefault="00504B9E">
      <w:pPr>
        <w:pStyle w:val="Ttulo4"/>
        <w:spacing w:before="0" w:after="280" w:line="276" w:lineRule="auto"/>
        <w:jc w:val="center"/>
        <w:rPr>
          <w:rFonts w:cs="Arial"/>
          <w:b w:val="0"/>
          <w:bCs w:val="0"/>
          <w:i w:val="0"/>
          <w:iCs w:val="0"/>
          <w:sz w:val="20"/>
          <w:szCs w:val="20"/>
        </w:rPr>
      </w:pPr>
      <w:r>
        <w:rPr>
          <w:rFonts w:cs="Arial"/>
          <w:b w:val="0"/>
          <w:bCs w:val="0"/>
          <w:i w:val="0"/>
          <w:iCs w:val="0"/>
          <w:sz w:val="20"/>
          <w:szCs w:val="20"/>
        </w:rPr>
        <w:t>CAPÍTULO IV</w:t>
      </w:r>
    </w:p>
    <w:p w:rsidR="001954D1" w:rsidRDefault="00504B9E">
      <w:pPr>
        <w:pStyle w:val="Corpodetexto2"/>
        <w:spacing w:after="280" w:line="276" w:lineRule="auto"/>
        <w:jc w:val="center"/>
        <w:outlineLvl w:val="5"/>
        <w:rPr>
          <w:b w:val="0"/>
          <w:lang w:val="pt-BR"/>
        </w:rPr>
      </w:pPr>
      <w:r>
        <w:rPr>
          <w:b w:val="0"/>
          <w:lang w:val="pt-BR"/>
        </w:rPr>
        <w:t>DAS DISPOSIÇÕES RELATIVAS ÀS DESPESAS DE CARÁTER CONTINUADO</w:t>
      </w:r>
    </w:p>
    <w:p w:rsidR="001954D1" w:rsidRDefault="00504B9E">
      <w:pPr>
        <w:pStyle w:val="Corpodetexto2"/>
        <w:spacing w:after="280" w:line="276" w:lineRule="auto"/>
        <w:jc w:val="center"/>
        <w:outlineLvl w:val="5"/>
        <w:rPr>
          <w:b w:val="0"/>
          <w:lang w:val="pt-BR"/>
        </w:rPr>
      </w:pPr>
      <w:r>
        <w:rPr>
          <w:b w:val="0"/>
          <w:lang w:val="pt-BR"/>
        </w:rPr>
        <w:t>Seção I</w:t>
      </w:r>
    </w:p>
    <w:p w:rsidR="001954D1" w:rsidRDefault="00504B9E">
      <w:pPr>
        <w:pStyle w:val="Corpodetexto2"/>
        <w:spacing w:after="280" w:line="276" w:lineRule="auto"/>
        <w:jc w:val="center"/>
        <w:outlineLvl w:val="5"/>
        <w:rPr>
          <w:b w:val="0"/>
          <w:lang w:val="pt-BR"/>
        </w:rPr>
      </w:pPr>
      <w:r>
        <w:rPr>
          <w:b w:val="0"/>
          <w:lang w:val="pt-BR"/>
        </w:rPr>
        <w:t>Do Aproveitamento da Margem de Expansão das Despesas Obrigatórias de Caráter Continuado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Art. 24. A compensação de </w:t>
      </w:r>
      <w:r>
        <w:rPr>
          <w:rFonts w:ascii="Arial" w:hAnsi="Arial" w:cs="Arial"/>
          <w:sz w:val="20"/>
          <w:szCs w:val="20"/>
          <w:lang w:val="pt-BR"/>
        </w:rPr>
        <w:t>que trata o art. 17, § 2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, da Lei Complementar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101</w:t>
      </w:r>
      <w:proofErr w:type="gramEnd"/>
      <w:r>
        <w:rPr>
          <w:rFonts w:ascii="Arial" w:hAnsi="Arial" w:cs="Arial"/>
          <w:sz w:val="20"/>
          <w:szCs w:val="20"/>
          <w:lang w:val="pt-BR"/>
        </w:rPr>
        <w:t>, de 2000, quando da criação ou aumento de despesas obrigatórias de caráter continuado poderá ser realizada a partir do aproveitamento da respectiva margem de expansão das despesas obrigatórias de caráte</w:t>
      </w:r>
      <w:r>
        <w:rPr>
          <w:rFonts w:ascii="Arial" w:hAnsi="Arial" w:cs="Arial"/>
          <w:sz w:val="20"/>
          <w:szCs w:val="20"/>
          <w:lang w:val="pt-BR"/>
        </w:rPr>
        <w:t>r continuado.</w:t>
      </w:r>
    </w:p>
    <w:p w:rsidR="001954D1" w:rsidRDefault="00504B9E">
      <w:pPr>
        <w:pStyle w:val="Corpodetexto2"/>
        <w:spacing w:after="280" w:line="276" w:lineRule="auto"/>
        <w:jc w:val="center"/>
        <w:outlineLvl w:val="5"/>
        <w:rPr>
          <w:b w:val="0"/>
          <w:lang w:val="pt-BR"/>
        </w:rPr>
      </w:pPr>
      <w:r>
        <w:rPr>
          <w:b w:val="0"/>
          <w:lang w:val="pt-BR"/>
        </w:rPr>
        <w:t>Seção II</w:t>
      </w:r>
    </w:p>
    <w:p w:rsidR="001954D1" w:rsidRDefault="00504B9E">
      <w:pPr>
        <w:pStyle w:val="Corpodetexto2"/>
        <w:spacing w:after="280" w:line="276" w:lineRule="auto"/>
        <w:jc w:val="center"/>
        <w:outlineLvl w:val="5"/>
        <w:rPr>
          <w:b w:val="0"/>
          <w:lang w:val="pt-BR"/>
        </w:rPr>
      </w:pPr>
      <w:r>
        <w:rPr>
          <w:b w:val="0"/>
          <w:lang w:val="pt-BR"/>
        </w:rPr>
        <w:t>Das Despesas com Pessoal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25. Os projetos de lei sobre criação ou transformação de cargos, bem como os relacionados a aumento de gastos com pessoal e encargos sociais deverão ser acompanhados, além de previsão específica nesta Le</w:t>
      </w:r>
      <w:r>
        <w:rPr>
          <w:rFonts w:ascii="Arial" w:hAnsi="Arial" w:cs="Arial"/>
          <w:sz w:val="20"/>
          <w:szCs w:val="20"/>
          <w:lang w:val="pt-BR"/>
        </w:rPr>
        <w:t>i, de impacto orçamentário e financeiro com as seguintes informações: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 - demonstrativo do cálculo de impacto orçamentário e financeiro que demonstre a situação orçamentária e financeira antes e depois da tomada de decisão sobre a nova despesa, para o exer</w:t>
      </w:r>
      <w:r>
        <w:rPr>
          <w:rFonts w:ascii="Arial" w:hAnsi="Arial" w:cs="Arial"/>
          <w:sz w:val="20"/>
          <w:szCs w:val="20"/>
          <w:lang w:val="pt-BR"/>
        </w:rPr>
        <w:t>cício e os dois seguintes;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 - declaração do ordenador de despesas de que existe dotação suficiente e recursos financeiros para atendimento da despesa, com as premissas e metodologias de cálculos utilizadas;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 xml:space="preserve">III - comprovação da </w:t>
      </w:r>
      <w:proofErr w:type="gramStart"/>
      <w:r>
        <w:rPr>
          <w:rFonts w:ascii="Arial" w:hAnsi="Arial" w:cs="Arial"/>
          <w:sz w:val="20"/>
          <w:szCs w:val="20"/>
          <w:lang w:val="pt-BR"/>
        </w:rPr>
        <w:t>não-afetação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das metas fis</w:t>
      </w:r>
      <w:r>
        <w:rPr>
          <w:rFonts w:ascii="Arial" w:hAnsi="Arial" w:cs="Arial"/>
          <w:sz w:val="20"/>
          <w:szCs w:val="20"/>
          <w:lang w:val="pt-BR"/>
        </w:rPr>
        <w:t>cais para o exercício;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IV – medidas de compensação ou comprovação do aproveitamento da margem de expansão das despesas obrigatórias de caráter continuado.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26. Para fins de atendimento ao disposto no art. 169, § 1</w:t>
      </w:r>
      <w:r>
        <w:rPr>
          <w:rFonts w:ascii="Arial" w:hAnsi="Arial" w:cs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, inciso II, da Constituição Federal, </w:t>
      </w:r>
      <w:r>
        <w:rPr>
          <w:rFonts w:ascii="Arial" w:hAnsi="Arial" w:cs="Arial"/>
          <w:sz w:val="20"/>
          <w:szCs w:val="20"/>
          <w:lang w:val="pt-BR"/>
        </w:rPr>
        <w:t>fica o Poder Executivo e Legislativo autorizados a realizar contratação temporária por excepcional interesse público, de acordo com as normativas vigentes, bem como os demais planejamentos relativos às admissões e aumentos remuneratórios da despesa com pes</w:t>
      </w:r>
      <w:r>
        <w:rPr>
          <w:rFonts w:ascii="Arial" w:hAnsi="Arial" w:cs="Arial"/>
          <w:sz w:val="20"/>
          <w:szCs w:val="20"/>
          <w:lang w:val="pt-BR"/>
        </w:rPr>
        <w:t>soal ficam estabelecidos nos termos do anexo VI a esta Lei.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27. Para efeitos da LC nº 101, art. 22, parágrafo único, no exercício de 2022 a realização de serviço extraordinário, quando a despesa com pessoal ultrapassar a 95% do limite do Poder Executi</w:t>
      </w:r>
      <w:r>
        <w:rPr>
          <w:rFonts w:ascii="Arial" w:hAnsi="Arial" w:cs="Arial"/>
          <w:sz w:val="20"/>
          <w:szCs w:val="20"/>
          <w:lang w:val="pt-BR"/>
        </w:rPr>
        <w:t>vo e do Legislativo, somente poderá ocorrer quando destinada ao atendimento de relevantes interesses públicos que ensejam situações emergenciais, de risco ou de prejuízo para a sociedade, dentre estes: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 – situações de emergência ou calamidade pública;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II </w:t>
      </w:r>
      <w:r>
        <w:rPr>
          <w:rFonts w:ascii="Arial" w:hAnsi="Arial" w:cs="Arial"/>
          <w:sz w:val="20"/>
          <w:szCs w:val="20"/>
          <w:lang w:val="pt-BR"/>
        </w:rPr>
        <w:t>– situações em que possam estar em risco à segurança de pessoas ou bens;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III – quando a relação custo-benefício se revelar favorável em relação a </w:t>
      </w:r>
      <w:proofErr w:type="gramStart"/>
      <w:r>
        <w:rPr>
          <w:rFonts w:ascii="Arial" w:hAnsi="Arial" w:cs="Arial"/>
          <w:sz w:val="20"/>
          <w:szCs w:val="20"/>
          <w:lang w:val="pt-BR"/>
        </w:rPr>
        <w:t>outras alternativas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possíveis.</w:t>
      </w:r>
    </w:p>
    <w:p w:rsidR="001954D1" w:rsidRDefault="00504B9E">
      <w:pPr>
        <w:pStyle w:val="Ttulo6"/>
        <w:spacing w:before="0" w:line="276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CAPÍTULO V</w:t>
      </w:r>
    </w:p>
    <w:p w:rsidR="001954D1" w:rsidRDefault="00504B9E">
      <w:pPr>
        <w:pStyle w:val="Standard"/>
        <w:spacing w:after="280" w:line="276" w:lineRule="auto"/>
        <w:jc w:val="center"/>
        <w:outlineLvl w:val="5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DAS DISPOSIÇÕES SOBRE A POLÍTICA TRIBUTÁRIA DO MUNICÍPIO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28. Na</w:t>
      </w:r>
      <w:r>
        <w:rPr>
          <w:rFonts w:ascii="Arial" w:hAnsi="Arial" w:cs="Arial"/>
          <w:sz w:val="20"/>
          <w:szCs w:val="20"/>
          <w:lang w:val="pt-BR"/>
        </w:rPr>
        <w:t xml:space="preserve"> política de administração tributária do Município ficam definidas as seguintes diretrizes para 2022, devendo legislação específica dispor sobre: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I </w:t>
      </w:r>
      <w:proofErr w:type="gramStart"/>
      <w:r>
        <w:rPr>
          <w:rFonts w:ascii="Arial" w:hAnsi="Arial" w:cs="Arial"/>
          <w:sz w:val="20"/>
          <w:szCs w:val="20"/>
          <w:lang w:val="pt-BR"/>
        </w:rPr>
        <w:t>-concessão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de anistia parcial aos contribuintes inscritos em dívida ativa do Município;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II - concessão de de</w:t>
      </w:r>
      <w:r>
        <w:rPr>
          <w:rFonts w:ascii="Arial" w:hAnsi="Arial" w:cs="Arial"/>
          <w:sz w:val="20"/>
          <w:szCs w:val="20"/>
          <w:lang w:val="pt-BR"/>
        </w:rPr>
        <w:t>sconto para pagamento em parcela única do IPTU de até 25% (vinte e cinco por cento).</w:t>
      </w:r>
    </w:p>
    <w:p w:rsidR="001954D1" w:rsidRDefault="00504B9E">
      <w:pPr>
        <w:pStyle w:val="Ttulo4"/>
        <w:spacing w:before="0" w:after="280" w:line="276" w:lineRule="auto"/>
        <w:jc w:val="center"/>
        <w:rPr>
          <w:rFonts w:cs="Arial"/>
          <w:b w:val="0"/>
          <w:bCs w:val="0"/>
          <w:i w:val="0"/>
          <w:iCs w:val="0"/>
          <w:sz w:val="20"/>
          <w:szCs w:val="20"/>
        </w:rPr>
      </w:pPr>
      <w:proofErr w:type="gramStart"/>
      <w:r>
        <w:rPr>
          <w:rFonts w:cs="Arial"/>
          <w:b w:val="0"/>
          <w:bCs w:val="0"/>
          <w:i w:val="0"/>
          <w:iCs w:val="0"/>
          <w:sz w:val="20"/>
          <w:szCs w:val="20"/>
        </w:rPr>
        <w:t>CAPÍTULO VI</w:t>
      </w:r>
      <w:proofErr w:type="gramEnd"/>
    </w:p>
    <w:p w:rsidR="001954D1" w:rsidRDefault="00504B9E">
      <w:pPr>
        <w:pStyle w:val="Ttulo6"/>
        <w:spacing w:before="0" w:line="276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DAS METAS FISCAIS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29. As metas de resultado fiscal nominal e primário, fixadas nesta lei: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serão atualizadas pela lei orçamentária anual;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II – em sua </w:t>
      </w:r>
      <w:r>
        <w:rPr>
          <w:rFonts w:ascii="Arial" w:hAnsi="Arial" w:cs="Arial"/>
          <w:sz w:val="20"/>
          <w:szCs w:val="20"/>
        </w:rPr>
        <w:t>execução admite-se variação em seu cumprimento em até 20% (vinte por cento) das metas fixadas.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30. A limitação de empenho e movimentação financeira de que trata o art. 9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da Lei Complementar </w:t>
      </w:r>
      <w:proofErr w:type="gramStart"/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101</w:t>
      </w:r>
      <w:proofErr w:type="gramEnd"/>
      <w:r>
        <w:rPr>
          <w:rFonts w:ascii="Arial" w:hAnsi="Arial" w:cs="Arial"/>
          <w:sz w:val="20"/>
          <w:szCs w:val="20"/>
        </w:rPr>
        <w:t>, de 2000, será efetivada, separadamente, por cada Pod</w:t>
      </w:r>
      <w:r>
        <w:rPr>
          <w:rFonts w:ascii="Arial" w:hAnsi="Arial" w:cs="Arial"/>
          <w:sz w:val="20"/>
          <w:szCs w:val="20"/>
        </w:rPr>
        <w:t>er do Município.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Constitui critérios para a limitação de empenho e movimentação financeira, a seguinte ordem de prioridade:</w:t>
      </w:r>
    </w:p>
    <w:p w:rsidR="001954D1" w:rsidRDefault="00504B9E">
      <w:pPr>
        <w:pStyle w:val="bodytext2"/>
        <w:spacing w:before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No Poder Executivo:</w:t>
      </w:r>
    </w:p>
    <w:p w:rsidR="001954D1" w:rsidRDefault="00504B9E">
      <w:pPr>
        <w:pStyle w:val="bodytext2"/>
        <w:numPr>
          <w:ilvl w:val="0"/>
          <w:numId w:val="10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Diárias;</w:t>
      </w:r>
    </w:p>
    <w:p w:rsidR="001954D1" w:rsidRDefault="00504B9E">
      <w:pPr>
        <w:pStyle w:val="bodytext2"/>
        <w:numPr>
          <w:ilvl w:val="0"/>
          <w:numId w:val="11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extraordinário;</w:t>
      </w:r>
    </w:p>
    <w:p w:rsidR="001954D1" w:rsidRDefault="00504B9E">
      <w:pPr>
        <w:pStyle w:val="bodytext2"/>
        <w:numPr>
          <w:ilvl w:val="0"/>
          <w:numId w:val="11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Realização de obras;</w:t>
      </w:r>
    </w:p>
    <w:p w:rsidR="001954D1" w:rsidRDefault="00504B9E">
      <w:pPr>
        <w:pStyle w:val="bodytext2"/>
        <w:numPr>
          <w:ilvl w:val="0"/>
          <w:numId w:val="11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Redução de despesas com aquisição de equipamentos</w:t>
      </w:r>
      <w:r>
        <w:rPr>
          <w:rFonts w:ascii="Arial" w:hAnsi="Arial" w:cs="Arial"/>
          <w:sz w:val="20"/>
          <w:szCs w:val="20"/>
        </w:rPr>
        <w:t xml:space="preserve"> e material permanente;</w:t>
      </w:r>
    </w:p>
    <w:p w:rsidR="001954D1" w:rsidRDefault="001954D1">
      <w:pPr>
        <w:pStyle w:val="bodytext2"/>
        <w:spacing w:before="0"/>
        <w:ind w:firstLine="851"/>
        <w:jc w:val="both"/>
        <w:rPr>
          <w:rFonts w:ascii="Arial" w:hAnsi="Arial" w:cs="Arial"/>
          <w:sz w:val="20"/>
          <w:szCs w:val="20"/>
        </w:rPr>
      </w:pPr>
    </w:p>
    <w:p w:rsidR="001954D1" w:rsidRDefault="00504B9E">
      <w:pPr>
        <w:pStyle w:val="bodytext2"/>
        <w:spacing w:before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No Poder Legislativo</w:t>
      </w:r>
    </w:p>
    <w:p w:rsidR="001954D1" w:rsidRDefault="00504B9E">
      <w:pPr>
        <w:pStyle w:val="bodytext2"/>
        <w:numPr>
          <w:ilvl w:val="0"/>
          <w:numId w:val="12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Diárias;</w:t>
      </w:r>
    </w:p>
    <w:p w:rsidR="001954D1" w:rsidRDefault="00504B9E">
      <w:pPr>
        <w:pStyle w:val="bodytext2"/>
        <w:numPr>
          <w:ilvl w:val="0"/>
          <w:numId w:val="13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Realização de serviço extraordinário;</w:t>
      </w:r>
    </w:p>
    <w:p w:rsidR="001954D1" w:rsidRDefault="001954D1">
      <w:pPr>
        <w:pStyle w:val="bodytext2"/>
        <w:spacing w:before="0"/>
        <w:ind w:firstLine="851"/>
        <w:jc w:val="both"/>
        <w:rPr>
          <w:rFonts w:ascii="Arial" w:hAnsi="Arial" w:cs="Arial"/>
          <w:sz w:val="20"/>
          <w:szCs w:val="20"/>
        </w:rPr>
      </w:pP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Em não sendo suficiente ou inviável sob o ponto de vista de administração, a limitação de empenho poderá ocorrer sobre outras despesas, com exceção: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das despesas com pessoal e encargos;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das despesas necessárias para o atendimento à saúde da população e ao atendimento do mínimo constitucional na manutenção e desenvolvimento do ensino e FUNDEB.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Na hipótese da ocorrência do disposto no </w:t>
      </w:r>
      <w:r>
        <w:rPr>
          <w:rFonts w:ascii="Arial" w:hAnsi="Arial" w:cs="Arial"/>
          <w:i/>
          <w:iCs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o Poder Executivo comunicará ao Legislativo, até o vigésimo dia do mês subsequente ao final do bimestre, acompanhado dos parâmetros adotados e das estimativas de receitas e despesas, o montante que caberá a cada um na limitação do empenho e </w:t>
      </w:r>
      <w:r>
        <w:rPr>
          <w:rFonts w:ascii="Arial" w:hAnsi="Arial" w:cs="Arial"/>
          <w:sz w:val="20"/>
          <w:szCs w:val="20"/>
        </w:rPr>
        <w:t>da movimentação financeira.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Legislativo, com base na comunicação de que trata o parágrafo anterior publicará ato, até o final do mês em que ocorreu a comunicação, estabelecendo os montantes a serem limitados de empenho e movimentação financeira.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Não ocorrendo à limitação de empenho e movimentação financeira de que trata este artigo, fica a cargo da coordenação do sistema de controle interno a comunicação ao Tribunal de Contas do </w:t>
      </w:r>
      <w:r>
        <w:rPr>
          <w:rFonts w:ascii="Arial" w:hAnsi="Arial" w:cs="Arial"/>
          <w:sz w:val="20"/>
          <w:szCs w:val="20"/>
        </w:rPr>
        <w:lastRenderedPageBreak/>
        <w:t>Estado, conforme atribuição prevista no art. 59, caput e inciso I d</w:t>
      </w:r>
      <w:r>
        <w:rPr>
          <w:rFonts w:ascii="Arial" w:hAnsi="Arial" w:cs="Arial"/>
          <w:sz w:val="20"/>
          <w:szCs w:val="20"/>
        </w:rPr>
        <w:t xml:space="preserve">a Lei Complementar </w:t>
      </w:r>
      <w:proofErr w:type="gramStart"/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101</w:t>
      </w:r>
      <w:proofErr w:type="gramEnd"/>
      <w:r>
        <w:rPr>
          <w:rFonts w:ascii="Arial" w:hAnsi="Arial" w:cs="Arial"/>
          <w:sz w:val="20"/>
          <w:szCs w:val="20"/>
        </w:rPr>
        <w:t>, de 2000 e art. 74, § 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da Constituição da República.</w:t>
      </w:r>
    </w:p>
    <w:p w:rsidR="001954D1" w:rsidRDefault="00504B9E">
      <w:pPr>
        <w:pStyle w:val="bodytext2"/>
        <w:spacing w:before="0" w:line="276" w:lineRule="auto"/>
        <w:ind w:firstLine="851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Cessada a causa da limitação referida neste artigo, ainda que parcial, a recomposição das dotações cujos empenhos foram limitados serão de forma proporcional às reduções </w:t>
      </w:r>
      <w:r>
        <w:rPr>
          <w:rFonts w:ascii="Arial" w:hAnsi="Arial" w:cs="Arial"/>
          <w:sz w:val="20"/>
          <w:szCs w:val="20"/>
        </w:rPr>
        <w:t>efetivadas.</w:t>
      </w:r>
    </w:p>
    <w:p w:rsidR="001954D1" w:rsidRDefault="00504B9E">
      <w:pPr>
        <w:pStyle w:val="Ttulo4"/>
        <w:spacing w:before="0" w:after="280" w:line="276" w:lineRule="auto"/>
        <w:jc w:val="center"/>
        <w:rPr>
          <w:rFonts w:cs="Arial"/>
          <w:b w:val="0"/>
          <w:bCs w:val="0"/>
          <w:i w:val="0"/>
          <w:iCs w:val="0"/>
          <w:sz w:val="20"/>
          <w:szCs w:val="20"/>
        </w:rPr>
      </w:pPr>
      <w:r>
        <w:rPr>
          <w:rFonts w:cs="Arial"/>
          <w:b w:val="0"/>
          <w:bCs w:val="0"/>
          <w:i w:val="0"/>
          <w:iCs w:val="0"/>
          <w:sz w:val="20"/>
          <w:szCs w:val="20"/>
        </w:rPr>
        <w:t>CAPÍTULO VII</w:t>
      </w:r>
    </w:p>
    <w:p w:rsidR="001954D1" w:rsidRDefault="00504B9E">
      <w:pPr>
        <w:pStyle w:val="Standard"/>
        <w:spacing w:after="28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DAS DISPOSIÇÕES FINAIS</w:t>
      </w:r>
    </w:p>
    <w:p w:rsidR="001954D1" w:rsidRDefault="00504B9E">
      <w:pPr>
        <w:pStyle w:val="Standard"/>
        <w:spacing w:after="280"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Art. 31. Se o projeto de lei orçamentária não for publicado até 31 de dezembro de 2021, até que este ocorra, a programação dele constante poderá ser executada.</w:t>
      </w:r>
    </w:p>
    <w:p w:rsidR="001954D1" w:rsidRDefault="00504B9E">
      <w:pPr>
        <w:spacing w:line="360" w:lineRule="auto"/>
        <w:jc w:val="both"/>
      </w:pPr>
      <w:r>
        <w:rPr>
          <w:rFonts w:ascii="Arial" w:eastAsia="TimesNewRomanPS-BoldMT" w:hAnsi="Arial" w:cs="Arial"/>
          <w:iCs/>
          <w:color w:val="000000"/>
          <w:sz w:val="20"/>
          <w:szCs w:val="20"/>
          <w:lang w:eastAsia="pt-BR" w:bidi="en-US"/>
        </w:rPr>
        <w:tab/>
        <w:t>Art. 32. Esta Lei entra em vigor na data de sua</w:t>
      </w:r>
      <w:r>
        <w:rPr>
          <w:rFonts w:ascii="Arial" w:eastAsia="TimesNewRomanPS-BoldMT" w:hAnsi="Arial" w:cs="Arial"/>
          <w:iCs/>
          <w:color w:val="000000"/>
          <w:sz w:val="20"/>
          <w:szCs w:val="20"/>
          <w:lang w:eastAsia="pt-BR" w:bidi="en-US"/>
        </w:rPr>
        <w:t xml:space="preserve"> publicação.</w:t>
      </w:r>
    </w:p>
    <w:p w:rsidR="001954D1" w:rsidRDefault="001954D1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54D1" w:rsidRDefault="00504B9E">
      <w:pPr>
        <w:spacing w:line="312" w:lineRule="atLeast"/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GABINETE DO PREFEITO MUNICIPAL DE GIRUÁ, ESTADO DO RIO GRANDE DO SUL, EM 20</w:t>
      </w:r>
      <w:r>
        <w:rPr>
          <w:rFonts w:ascii="Arial" w:hAnsi="Arial"/>
          <w:color w:val="000000"/>
          <w:sz w:val="20"/>
          <w:szCs w:val="20"/>
        </w:rPr>
        <w:t xml:space="preserve"> DE OUTUBRO </w:t>
      </w:r>
      <w:r>
        <w:rPr>
          <w:rFonts w:ascii="Arial" w:hAnsi="Arial"/>
          <w:color w:val="000000"/>
          <w:sz w:val="20"/>
          <w:szCs w:val="20"/>
        </w:rPr>
        <w:t>DE 2021, 66º ANO DA EMANCIPAÇÃO.</w:t>
      </w:r>
    </w:p>
    <w:p w:rsidR="001954D1" w:rsidRDefault="001954D1">
      <w:pPr>
        <w:spacing w:line="312" w:lineRule="atLeast"/>
        <w:jc w:val="both"/>
        <w:rPr>
          <w:rFonts w:ascii="Arial" w:hAnsi="Arial"/>
          <w:color w:val="000000"/>
          <w:sz w:val="20"/>
          <w:szCs w:val="20"/>
        </w:rPr>
      </w:pPr>
    </w:p>
    <w:p w:rsidR="001954D1" w:rsidRDefault="001954D1">
      <w:pPr>
        <w:pStyle w:val="Corpodetexto"/>
        <w:tabs>
          <w:tab w:val="left" w:pos="9029"/>
        </w:tabs>
        <w:spacing w:after="0" w:line="312" w:lineRule="atLeast"/>
        <w:jc w:val="center"/>
        <w:rPr>
          <w:rFonts w:ascii="Arial" w:hAnsi="Arial"/>
          <w:szCs w:val="20"/>
        </w:rPr>
      </w:pPr>
    </w:p>
    <w:p w:rsidR="001954D1" w:rsidRDefault="00504B9E">
      <w:pPr>
        <w:pStyle w:val="Corpodetexto"/>
        <w:tabs>
          <w:tab w:val="left" w:pos="9029"/>
        </w:tabs>
        <w:spacing w:after="0" w:line="312" w:lineRule="atLeast"/>
        <w:jc w:val="center"/>
        <w:rPr>
          <w:szCs w:val="20"/>
        </w:rPr>
      </w:pPr>
      <w:r>
        <w:rPr>
          <w:rFonts w:ascii="Arial" w:eastAsia="Arial" w:hAnsi="Arial" w:cs="Arial"/>
          <w:color w:val="000000"/>
          <w:szCs w:val="20"/>
          <w:lang w:eastAsia="en-US" w:bidi="en-US"/>
        </w:rPr>
        <w:t>RUBEN WEIMER</w:t>
      </w:r>
    </w:p>
    <w:p w:rsidR="001954D1" w:rsidRDefault="00504B9E">
      <w:pPr>
        <w:pStyle w:val="Corpodetexto"/>
        <w:tabs>
          <w:tab w:val="left" w:pos="9029"/>
        </w:tabs>
        <w:spacing w:after="0" w:line="312" w:lineRule="atLeast"/>
        <w:jc w:val="center"/>
        <w:rPr>
          <w:szCs w:val="20"/>
        </w:rPr>
      </w:pPr>
      <w:r>
        <w:rPr>
          <w:rFonts w:ascii="Arial" w:hAnsi="Arial" w:cs="Arial"/>
          <w:color w:val="000000"/>
          <w:szCs w:val="20"/>
        </w:rPr>
        <w:t xml:space="preserve">Prefeito Municipal </w:t>
      </w:r>
    </w:p>
    <w:p w:rsidR="001954D1" w:rsidRDefault="001954D1">
      <w:pPr>
        <w:tabs>
          <w:tab w:val="left" w:pos="8640"/>
        </w:tabs>
        <w:spacing w:line="312" w:lineRule="atLeast"/>
        <w:ind w:right="536"/>
        <w:jc w:val="both"/>
        <w:rPr>
          <w:rFonts w:ascii="Arial" w:hAnsi="Arial"/>
          <w:color w:val="000000"/>
          <w:sz w:val="20"/>
          <w:szCs w:val="20"/>
        </w:rPr>
      </w:pPr>
    </w:p>
    <w:p w:rsidR="001954D1" w:rsidRDefault="001954D1">
      <w:pPr>
        <w:tabs>
          <w:tab w:val="left" w:pos="8640"/>
        </w:tabs>
        <w:spacing w:line="312" w:lineRule="atLeast"/>
        <w:ind w:right="536"/>
        <w:jc w:val="both"/>
        <w:rPr>
          <w:rFonts w:ascii="Arial" w:hAnsi="Arial"/>
          <w:color w:val="000000"/>
          <w:sz w:val="20"/>
          <w:szCs w:val="20"/>
        </w:rPr>
      </w:pPr>
    </w:p>
    <w:p w:rsidR="001954D1" w:rsidRDefault="00504B9E">
      <w:pPr>
        <w:tabs>
          <w:tab w:val="left" w:pos="8640"/>
        </w:tabs>
        <w:spacing w:line="312" w:lineRule="atLeast"/>
        <w:ind w:right="536"/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Registre-se e Publique-se no Mural da Prefeitura</w:t>
      </w:r>
    </w:p>
    <w:p w:rsidR="001954D1" w:rsidRDefault="001954D1">
      <w:pPr>
        <w:spacing w:line="312" w:lineRule="atLeast"/>
        <w:jc w:val="both"/>
        <w:rPr>
          <w:rFonts w:ascii="Arial" w:hAnsi="Arial" w:cs="Times New Roman"/>
          <w:b/>
          <w:bCs/>
          <w:sz w:val="20"/>
          <w:szCs w:val="20"/>
        </w:rPr>
      </w:pPr>
    </w:p>
    <w:p w:rsidR="001954D1" w:rsidRDefault="00504B9E">
      <w:pPr>
        <w:spacing w:line="312" w:lineRule="atLeast"/>
        <w:jc w:val="both"/>
        <w:rPr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Tanise Maciel </w:t>
      </w:r>
      <w:proofErr w:type="spellStart"/>
      <w:r>
        <w:rPr>
          <w:rFonts w:ascii="Arial" w:hAnsi="Arial" w:cs="Times New Roman"/>
          <w:color w:val="000000"/>
          <w:sz w:val="20"/>
          <w:szCs w:val="20"/>
        </w:rPr>
        <w:t>Weschenfelder</w:t>
      </w:r>
      <w:proofErr w:type="spellEnd"/>
    </w:p>
    <w:p w:rsidR="001954D1" w:rsidRDefault="00504B9E">
      <w:pPr>
        <w:spacing w:line="312" w:lineRule="atLeast"/>
        <w:jc w:val="both"/>
        <w:rPr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Secretária Municipal de Administração</w:t>
      </w:r>
    </w:p>
    <w:p w:rsidR="001954D1" w:rsidRDefault="00504B9E">
      <w:pPr>
        <w:tabs>
          <w:tab w:val="left" w:pos="8640"/>
        </w:tabs>
        <w:spacing w:line="312" w:lineRule="atLeast"/>
        <w:ind w:right="539"/>
        <w:jc w:val="both"/>
      </w:pPr>
      <w:r>
        <w:rPr>
          <w:rFonts w:ascii="Arial" w:eastAsia="Times New Roman" w:hAnsi="Arial" w:cs="Times New Roman"/>
          <w:color w:val="000000"/>
          <w:sz w:val="20"/>
          <w:szCs w:val="20"/>
          <w:lang w:eastAsia="en-US" w:bidi="en-US"/>
        </w:rPr>
        <w:t>Portaria nº 13.750/2021.</w:t>
      </w:r>
    </w:p>
    <w:p w:rsidR="001954D1" w:rsidRDefault="001954D1">
      <w:pPr>
        <w:tabs>
          <w:tab w:val="left" w:pos="8640"/>
        </w:tabs>
        <w:spacing w:line="312" w:lineRule="atLeast"/>
        <w:ind w:right="539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n-US" w:bidi="en-US"/>
        </w:rPr>
      </w:pPr>
    </w:p>
    <w:p w:rsidR="001954D1" w:rsidRDefault="001954D1">
      <w:pPr>
        <w:tabs>
          <w:tab w:val="left" w:pos="8640"/>
        </w:tabs>
        <w:spacing w:line="312" w:lineRule="atLeast"/>
        <w:ind w:right="539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n-US" w:bidi="en-US"/>
        </w:rPr>
      </w:pPr>
    </w:p>
    <w:p w:rsidR="001954D1" w:rsidRDefault="001954D1">
      <w:pPr>
        <w:tabs>
          <w:tab w:val="left" w:pos="8640"/>
        </w:tabs>
        <w:spacing w:line="312" w:lineRule="atLeast"/>
        <w:ind w:right="539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n-US" w:bidi="en-US"/>
        </w:rPr>
      </w:pPr>
    </w:p>
    <w:p w:rsidR="001954D1" w:rsidRDefault="001954D1">
      <w:pPr>
        <w:tabs>
          <w:tab w:val="left" w:pos="8640"/>
        </w:tabs>
        <w:spacing w:line="312" w:lineRule="atLeast"/>
        <w:ind w:right="539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n-US" w:bidi="en-US"/>
        </w:rPr>
      </w:pPr>
    </w:p>
    <w:p w:rsidR="001954D1" w:rsidRDefault="001954D1">
      <w:pPr>
        <w:tabs>
          <w:tab w:val="left" w:pos="8640"/>
        </w:tabs>
        <w:spacing w:line="312" w:lineRule="atLeast"/>
        <w:ind w:right="539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n-US" w:bidi="en-US"/>
        </w:rPr>
      </w:pPr>
    </w:p>
    <w:p w:rsidR="001954D1" w:rsidRDefault="00504B9E">
      <w:pPr>
        <w:pStyle w:val="Corpodetexto"/>
        <w:widowControl w:val="0"/>
        <w:tabs>
          <w:tab w:val="left" w:pos="1980"/>
        </w:tabs>
        <w:overflowPunct w:val="0"/>
        <w:spacing w:after="0" w:line="360" w:lineRule="auto"/>
        <w:jc w:val="center"/>
      </w:pPr>
      <w:r>
        <w:rPr>
          <w:rFonts w:ascii="Arial" w:eastAsia="TimesNewRomanPSMT" w:hAnsi="Arial" w:cs="Arial"/>
          <w:color w:val="000000"/>
          <w:w w:val="90"/>
          <w:sz w:val="14"/>
          <w:szCs w:val="14"/>
          <w:lang w:eastAsia="en-US" w:bidi="en-US"/>
        </w:rPr>
        <w:t xml:space="preserve">Publicado no Mural da Prefeitura Municipal de Giruá, Imprensa Oficial do Poder Executivo – LM nº 4085/09 no dia </w:t>
      </w:r>
      <w:r>
        <w:rPr>
          <w:rFonts w:ascii="Arial" w:eastAsia="TimesNewRomanPSMT" w:hAnsi="Arial" w:cs="Arial"/>
          <w:color w:val="000000"/>
          <w:w w:val="90"/>
          <w:sz w:val="14"/>
          <w:szCs w:val="14"/>
          <w:lang w:eastAsia="en-US" w:bidi="en-US"/>
        </w:rPr>
        <w:t xml:space="preserve">20 de outubro </w:t>
      </w:r>
      <w:r>
        <w:rPr>
          <w:rFonts w:ascii="Arial" w:eastAsia="TimesNewRomanPSMT" w:hAnsi="Arial" w:cs="Arial"/>
          <w:color w:val="000000"/>
          <w:w w:val="90"/>
          <w:sz w:val="14"/>
          <w:szCs w:val="14"/>
          <w:lang w:eastAsia="en-US" w:bidi="en-US"/>
        </w:rPr>
        <w:t>de 2021.</w:t>
      </w:r>
    </w:p>
    <w:p w:rsidR="001954D1" w:rsidRDefault="001954D1">
      <w:pPr>
        <w:tabs>
          <w:tab w:val="left" w:pos="0"/>
        </w:tabs>
        <w:spacing w:line="283" w:lineRule="atLeast"/>
        <w:jc w:val="both"/>
        <w:rPr>
          <w:sz w:val="14"/>
          <w:szCs w:val="14"/>
        </w:rPr>
      </w:pPr>
    </w:p>
    <w:p w:rsidR="001954D1" w:rsidRDefault="001954D1">
      <w:pPr>
        <w:tabs>
          <w:tab w:val="left" w:pos="0"/>
        </w:tabs>
        <w:spacing w:line="283" w:lineRule="atLeast"/>
        <w:jc w:val="both"/>
        <w:rPr>
          <w:sz w:val="14"/>
          <w:szCs w:val="14"/>
        </w:rPr>
      </w:pPr>
    </w:p>
    <w:p w:rsidR="001954D1" w:rsidRDefault="001954D1">
      <w:pPr>
        <w:tabs>
          <w:tab w:val="left" w:pos="0"/>
        </w:tabs>
        <w:spacing w:line="283" w:lineRule="atLeast"/>
        <w:jc w:val="both"/>
        <w:rPr>
          <w:sz w:val="20"/>
          <w:szCs w:val="20"/>
        </w:rPr>
      </w:pPr>
    </w:p>
    <w:p w:rsidR="001954D1" w:rsidRDefault="001954D1">
      <w:pPr>
        <w:tabs>
          <w:tab w:val="left" w:pos="0"/>
        </w:tabs>
        <w:spacing w:line="283" w:lineRule="atLeast"/>
        <w:jc w:val="both"/>
        <w:rPr>
          <w:sz w:val="20"/>
          <w:szCs w:val="20"/>
        </w:rPr>
      </w:pPr>
    </w:p>
    <w:p w:rsidR="001954D1" w:rsidRDefault="001954D1">
      <w:pPr>
        <w:tabs>
          <w:tab w:val="left" w:pos="0"/>
        </w:tabs>
        <w:spacing w:line="283" w:lineRule="atLeast"/>
        <w:jc w:val="both"/>
        <w:rPr>
          <w:sz w:val="20"/>
          <w:szCs w:val="20"/>
        </w:rPr>
      </w:pPr>
    </w:p>
    <w:sectPr w:rsidR="001954D1">
      <w:headerReference w:type="default" r:id="rId8"/>
      <w:footerReference w:type="default" r:id="rId9"/>
      <w:pgSz w:w="11906" w:h="16838"/>
      <w:pgMar w:top="1191" w:right="1134" w:bottom="907" w:left="1417" w:header="1134" w:footer="85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9E" w:rsidRDefault="00504B9E">
      <w:r>
        <w:separator/>
      </w:r>
    </w:p>
  </w:endnote>
  <w:endnote w:type="continuationSeparator" w:id="0">
    <w:p w:rsidR="00504B9E" w:rsidRDefault="005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D1" w:rsidRDefault="00504B9E">
    <w:pPr>
      <w:pStyle w:val="Corpodetexto"/>
      <w:jc w:val="right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Lei Municipal nº 7144/2021 (pag. </w:t>
    </w:r>
    <w:r>
      <w:rPr>
        <w:rFonts w:ascii="Arial" w:hAnsi="Arial"/>
        <w:sz w:val="12"/>
        <w:szCs w:val="12"/>
      </w:rPr>
      <w:fldChar w:fldCharType="begin"/>
    </w:r>
    <w:r>
      <w:rPr>
        <w:rFonts w:ascii="Arial" w:hAnsi="Arial"/>
        <w:sz w:val="12"/>
        <w:szCs w:val="12"/>
      </w:rPr>
      <w:instrText>PAGE</w:instrText>
    </w:r>
    <w:r>
      <w:rPr>
        <w:rFonts w:ascii="Arial" w:hAnsi="Arial"/>
        <w:sz w:val="12"/>
        <w:szCs w:val="12"/>
      </w:rPr>
      <w:fldChar w:fldCharType="separate"/>
    </w:r>
    <w:r w:rsidR="00750E2D">
      <w:rPr>
        <w:rFonts w:ascii="Arial" w:hAnsi="Arial"/>
        <w:noProof/>
        <w:sz w:val="12"/>
        <w:szCs w:val="12"/>
      </w:rPr>
      <w:t>1</w:t>
    </w:r>
    <w:r>
      <w:rPr>
        <w:rFonts w:ascii="Arial" w:hAnsi="Arial"/>
        <w:sz w:val="12"/>
        <w:szCs w:val="12"/>
      </w:rPr>
      <w:fldChar w:fldCharType="end"/>
    </w:r>
    <w:r>
      <w:rPr>
        <w:rFonts w:ascii="Arial" w:hAnsi="Arial"/>
        <w:sz w:val="12"/>
        <w:szCs w:val="12"/>
      </w:rPr>
      <w:t>/12)</w:t>
    </w:r>
  </w:p>
  <w:tbl>
    <w:tblPr>
      <w:tblW w:w="8332" w:type="dxa"/>
      <w:tblInd w:w="90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332"/>
    </w:tblGrid>
    <w:tr w:rsidR="001954D1">
      <w:tc>
        <w:tcPr>
          <w:tcW w:w="833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954D1" w:rsidRDefault="00504B9E">
          <w:pPr>
            <w:pStyle w:val="Rodap"/>
            <w:widowControl w:val="0"/>
            <w:jc w:val="center"/>
            <w:rPr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Centro Administrativo Bruno Edgar</w:t>
          </w:r>
          <w:r>
            <w:rPr>
              <w:rFonts w:ascii="Calibri" w:hAnsi="Calibri"/>
              <w:b/>
              <w:bCs/>
              <w:sz w:val="12"/>
              <w:szCs w:val="12"/>
            </w:rPr>
            <w:t xml:space="preserve"> </w:t>
          </w:r>
          <w:proofErr w:type="spellStart"/>
          <w:r>
            <w:rPr>
              <w:rFonts w:ascii="Calibri" w:hAnsi="Calibri"/>
              <w:b/>
              <w:bCs/>
              <w:sz w:val="12"/>
              <w:szCs w:val="12"/>
            </w:rPr>
            <w:t>Schwerz</w:t>
          </w:r>
          <w:proofErr w:type="spellEnd"/>
        </w:p>
        <w:p w:rsidR="001954D1" w:rsidRDefault="00504B9E">
          <w:pPr>
            <w:pStyle w:val="Rodap"/>
            <w:widowControl w:val="0"/>
            <w:jc w:val="center"/>
            <w:rPr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Rua Independência, nº 90, Centro, CEP: 98870-000 – Fone: (55) 3361-</w:t>
          </w:r>
          <w:proofErr w:type="gramStart"/>
          <w:r>
            <w:rPr>
              <w:rFonts w:ascii="Calibri" w:hAnsi="Calibri"/>
              <w:b/>
              <w:bCs/>
              <w:sz w:val="12"/>
              <w:szCs w:val="12"/>
            </w:rPr>
            <w:t>2000</w:t>
          </w:r>
          <w:proofErr w:type="gramEnd"/>
        </w:p>
        <w:p w:rsidR="001954D1" w:rsidRDefault="00504B9E">
          <w:pPr>
            <w:pStyle w:val="Rodap"/>
            <w:widowControl w:val="0"/>
            <w:jc w:val="center"/>
            <w:rPr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administracao@girua.rs.gov.br</w:t>
          </w:r>
        </w:p>
        <w:p w:rsidR="001954D1" w:rsidRDefault="00504B9E">
          <w:pPr>
            <w:pStyle w:val="Rodap"/>
            <w:widowControl w:val="0"/>
            <w:jc w:val="center"/>
            <w:rPr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“VIVA A VIDA SEM DROGAS”</w:t>
          </w:r>
        </w:p>
      </w:tc>
    </w:tr>
  </w:tbl>
  <w:p w:rsidR="001954D1" w:rsidRDefault="001954D1">
    <w:pPr>
      <w:pStyle w:val="Rodap"/>
      <w:spacing w:line="360" w:lineRule="auto"/>
      <w:jc w:val="center"/>
      <w:rPr>
        <w:rFonts w:ascii="Arial" w:hAnsi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9E" w:rsidRDefault="00504B9E">
      <w:r>
        <w:separator/>
      </w:r>
    </w:p>
  </w:footnote>
  <w:footnote w:type="continuationSeparator" w:id="0">
    <w:p w:rsidR="00504B9E" w:rsidRDefault="0050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3" w:type="dxa"/>
      <w:tblInd w:w="1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235"/>
      <w:gridCol w:w="7238"/>
    </w:tblGrid>
    <w:tr w:rsidR="001954D1">
      <w:tc>
        <w:tcPr>
          <w:tcW w:w="22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:rsidR="001954D1" w:rsidRDefault="00504B9E">
          <w:pPr>
            <w:pStyle w:val="Contedodatabela"/>
            <w:widowControl w:val="0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13" behindDoc="1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-17780</wp:posOffset>
                </wp:positionV>
                <wp:extent cx="789940" cy="653415"/>
                <wp:effectExtent l="0" t="0" r="0" b="0"/>
                <wp:wrapSquare wrapText="largest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65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954D1" w:rsidRDefault="00504B9E">
          <w:pPr>
            <w:pStyle w:val="Contedodatabela"/>
            <w:widowControl w:val="0"/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ESTADO DO RIO GRANDE DO SUL</w:t>
          </w:r>
        </w:p>
        <w:p w:rsidR="001954D1" w:rsidRDefault="00504B9E">
          <w:pPr>
            <w:pStyle w:val="Contedodatabela"/>
            <w:widowControl w:val="0"/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MUNICÍPIO DE GIRUÁ</w:t>
          </w:r>
        </w:p>
        <w:p w:rsidR="001954D1" w:rsidRDefault="00504B9E">
          <w:pPr>
            <w:pStyle w:val="Contedodatabela"/>
            <w:widowControl w:val="0"/>
            <w:jc w:val="center"/>
            <w:rPr>
              <w:rFonts w:ascii="Calibri" w:hAnsi="Calibri"/>
              <w:b/>
              <w:bCs/>
              <w:i/>
              <w:iCs/>
              <w:sz w:val="16"/>
              <w:szCs w:val="16"/>
            </w:rPr>
          </w:pPr>
          <w:r>
            <w:rPr>
              <w:rFonts w:ascii="Calibri" w:hAnsi="Calibri"/>
              <w:b/>
              <w:bCs/>
              <w:i/>
              <w:iCs/>
              <w:sz w:val="16"/>
              <w:szCs w:val="16"/>
            </w:rPr>
            <w:t>“CAPITAL DA PRODUTIVIDADE”</w:t>
          </w:r>
        </w:p>
        <w:p w:rsidR="001954D1" w:rsidRDefault="00504B9E">
          <w:pPr>
            <w:pStyle w:val="Contedodatabela"/>
            <w:widowControl w:val="0"/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SECRETARIA DE ADMINISTRAÇÃO</w:t>
          </w:r>
        </w:p>
      </w:tc>
    </w:tr>
  </w:tbl>
  <w:p w:rsidR="001954D1" w:rsidRDefault="001954D1">
    <w:pPr>
      <w:spacing w:line="312" w:lineRule="atLeast"/>
      <w:jc w:val="both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230F"/>
    <w:multiLevelType w:val="multilevel"/>
    <w:tmpl w:val="46BC1352"/>
    <w:lvl w:ilvl="0">
      <w:start w:val="1"/>
      <w:numFmt w:val="upperRoman"/>
      <w:lvlText w:val="%1"/>
      <w:lvlJc w:val="left"/>
      <w:pPr>
        <w:tabs>
          <w:tab w:val="num" w:pos="360"/>
        </w:tabs>
        <w:ind w:left="360" w:firstLine="0"/>
      </w:pPr>
      <w:rPr>
        <w:rFonts w:ascii="Calibri" w:eastAsia="Times New Roman" w:hAnsi="Calibri" w:cs="Calibri"/>
      </w:rPr>
    </w:lvl>
    <w:lvl w:ilvl="1">
      <w:start w:val="1"/>
      <w:numFmt w:val="lowerLetter"/>
      <w:lvlText w:val="%1.%2"/>
      <w:lvlJc w:val="left"/>
      <w:pPr>
        <w:tabs>
          <w:tab w:val="num" w:pos="360"/>
        </w:tabs>
        <w:ind w:left="360" w:firstLine="0"/>
      </w:pPr>
    </w:lvl>
    <w:lvl w:ilvl="2">
      <w:start w:val="1"/>
      <w:numFmt w:val="lowerRoman"/>
      <w:lvlText w:val="%1.%2.%3"/>
      <w:lvlJc w:val="right"/>
      <w:pPr>
        <w:tabs>
          <w:tab w:val="num" w:pos="360"/>
        </w:tabs>
        <w:ind w:left="360" w:firstLine="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firstLine="0"/>
      </w:pPr>
    </w:lvl>
    <w:lvl w:ilvl="4">
      <w:start w:val="1"/>
      <w:numFmt w:val="lowerLetter"/>
      <w:lvlText w:val="%1.%2.%3.%4.%5"/>
      <w:lvlJc w:val="left"/>
      <w:pPr>
        <w:tabs>
          <w:tab w:val="num" w:pos="360"/>
        </w:tabs>
        <w:ind w:left="360" w:firstLine="0"/>
      </w:pPr>
    </w:lvl>
    <w:lvl w:ilvl="5">
      <w:start w:val="1"/>
      <w:numFmt w:val="lowerRoman"/>
      <w:lvlText w:val="%1.%2.%3.%4.%5.%6"/>
      <w:lvlJc w:val="right"/>
      <w:pPr>
        <w:tabs>
          <w:tab w:val="num" w:pos="360"/>
        </w:tabs>
        <w:ind w:left="360" w:firstLine="0"/>
      </w:p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firstLine="0"/>
      </w:pPr>
    </w:lvl>
    <w:lvl w:ilvl="7">
      <w:start w:val="1"/>
      <w:numFmt w:val="lowerLetter"/>
      <w:lvlText w:val="%1.%2.%3.%4.%5.%6.%7.%8"/>
      <w:lvlJc w:val="left"/>
      <w:pPr>
        <w:tabs>
          <w:tab w:val="num" w:pos="360"/>
        </w:tabs>
        <w:ind w:left="360" w:firstLine="0"/>
      </w:pPr>
    </w:lvl>
    <w:lvl w:ilvl="8">
      <w:start w:val="1"/>
      <w:numFmt w:val="lowerRoman"/>
      <w:lvlText w:val="%1.%2.%3.%4.%5.%6.%7.%8.%9"/>
      <w:lvlJc w:val="right"/>
      <w:pPr>
        <w:tabs>
          <w:tab w:val="num" w:pos="360"/>
        </w:tabs>
        <w:ind w:left="360" w:firstLine="0"/>
      </w:pPr>
    </w:lvl>
  </w:abstractNum>
  <w:abstractNum w:abstractNumId="1">
    <w:nsid w:val="209F2F8C"/>
    <w:multiLevelType w:val="multilevel"/>
    <w:tmpl w:val="9670B4AC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firstLine="0"/>
      </w:pPr>
    </w:lvl>
  </w:abstractNum>
  <w:abstractNum w:abstractNumId="2">
    <w:nsid w:val="2EA0758F"/>
    <w:multiLevelType w:val="multilevel"/>
    <w:tmpl w:val="779C1A7E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Calibri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firstLine="0"/>
      </w:pPr>
    </w:lvl>
  </w:abstractNum>
  <w:abstractNum w:abstractNumId="3">
    <w:nsid w:val="41645716"/>
    <w:multiLevelType w:val="multilevel"/>
    <w:tmpl w:val="56AA46F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55E76AC"/>
    <w:multiLevelType w:val="multilevel"/>
    <w:tmpl w:val="01567C1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Calibri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firstLine="0"/>
      </w:pPr>
    </w:lvl>
  </w:abstractNum>
  <w:abstractNum w:abstractNumId="5">
    <w:nsid w:val="4FF230C5"/>
    <w:multiLevelType w:val="multilevel"/>
    <w:tmpl w:val="80E68E7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firstLine="0"/>
      </w:pPr>
    </w:lvl>
  </w:abstractNum>
  <w:abstractNum w:abstractNumId="6">
    <w:nsid w:val="53F11E71"/>
    <w:multiLevelType w:val="multilevel"/>
    <w:tmpl w:val="FF0C0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5"/>
    <w:lvlOverride w:ilvl="0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D1"/>
    <w:rsid w:val="001954D1"/>
    <w:rsid w:val="00504B9E"/>
    <w:rsid w:val="0075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bCs/>
      <w:i/>
      <w:iCs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spacing w:before="280" w:after="280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apple-converted-space">
    <w:name w:val="apple-converted-space"/>
    <w:qFormat/>
  </w:style>
  <w:style w:type="character" w:customStyle="1" w:styleId="WW8Num58z0">
    <w:name w:val="WW8Num58z0"/>
    <w:qFormat/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WW8Num48z0">
    <w:name w:val="WW8Num48z0"/>
    <w:qFormat/>
    <w:rPr>
      <w:rFonts w:ascii="Arial" w:eastAsia="Times New Roman" w:hAnsi="Arial" w:cs="Times New Roman"/>
      <w:spacing w:val="-1"/>
      <w:sz w:val="20"/>
      <w:szCs w:val="20"/>
    </w:rPr>
  </w:style>
  <w:style w:type="character" w:styleId="nfase">
    <w:name w:val="Emphasis"/>
    <w:qFormat/>
    <w:rPr>
      <w:i/>
      <w:iCs/>
    </w:rPr>
  </w:style>
  <w:style w:type="character" w:customStyle="1" w:styleId="Tipodeletrapredefinidodopargrafo">
    <w:name w:val="Tipo de letra predefinido do parágrafo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80z0">
    <w:name w:val="WW8Num80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20z0">
    <w:name w:val="WW8Num20z0"/>
    <w:qFormat/>
    <w:rPr>
      <w:rFonts w:ascii="Arial" w:eastAsia="Times New Roman" w:hAnsi="Arial" w:cs="Times New Roman"/>
      <w:spacing w:val="-1"/>
      <w:w w:val="99"/>
      <w:sz w:val="20"/>
      <w:szCs w:val="20"/>
    </w:rPr>
  </w:style>
  <w:style w:type="character" w:customStyle="1" w:styleId="WW8Num75z0">
    <w:name w:val="WW8Num75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111z0">
    <w:name w:val="WW8Num111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LO-Normal"/>
    <w:qFormat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Body Text Indent 2"/>
    <w:basedOn w:val="Normal"/>
    <w:qFormat/>
    <w:pPr>
      <w:tabs>
        <w:tab w:val="left" w:pos="2700"/>
      </w:tabs>
      <w:ind w:left="4500"/>
      <w:jc w:val="both"/>
    </w:pPr>
    <w:rPr>
      <w:b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cs="Mangal"/>
      <w:szCs w:val="21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estern">
    <w:name w:val="western"/>
    <w:basedOn w:val="Normal"/>
    <w:qFormat/>
    <w:pPr>
      <w:spacing w:before="280" w:after="119" w:line="100" w:lineRule="atLeast"/>
    </w:pPr>
    <w:rPr>
      <w:rFonts w:eastAsia="Times New Roma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Recuodecorpodetexto3">
    <w:name w:val="Body Text Indent 3"/>
    <w:basedOn w:val="Normal"/>
    <w:qFormat/>
    <w:pPr>
      <w:ind w:firstLine="2700"/>
      <w:jc w:val="both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styleId="Corpodetexto2">
    <w:name w:val="Body Text 2"/>
    <w:basedOn w:val="Standard"/>
    <w:qFormat/>
    <w:pPr>
      <w:widowControl/>
      <w:jc w:val="both"/>
    </w:pPr>
    <w:rPr>
      <w:rFonts w:ascii="Arial" w:eastAsia="Times New Roman" w:hAnsi="Arial" w:cs="Arial"/>
      <w:b/>
      <w:sz w:val="20"/>
      <w:szCs w:val="20"/>
      <w:lang w:bidi="ar-SA"/>
    </w:rPr>
  </w:style>
  <w:style w:type="paragraph" w:customStyle="1" w:styleId="Contedodalista">
    <w:name w:val="Conteúdo da lista"/>
    <w:basedOn w:val="Normal"/>
    <w:qFormat/>
    <w:pPr>
      <w:widowControl w:val="0"/>
      <w:ind w:left="567"/>
    </w:pPr>
    <w:rPr>
      <w:rFonts w:ascii="Times New Roman" w:eastAsia="Liberation Serif" w:hAnsi="Times New Roman"/>
      <w:color w:val="000000"/>
      <w:lang w:eastAsia="en-US"/>
    </w:rPr>
  </w:style>
  <w:style w:type="paragraph" w:styleId="NormalWeb">
    <w:name w:val="Normal (Web)"/>
    <w:basedOn w:val="Normal"/>
    <w:qFormat/>
    <w:pPr>
      <w:spacing w:before="280" w:after="119" w:line="100" w:lineRule="atLeast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paragraph" w:customStyle="1" w:styleId="bodytext2">
    <w:name w:val="bodytext2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rtigo">
    <w:name w:val="Artigo"/>
    <w:basedOn w:val="Normal"/>
    <w:qFormat/>
    <w:pPr>
      <w:spacing w:before="240"/>
      <w:ind w:firstLine="1134"/>
      <w:jc w:val="both"/>
    </w:pPr>
    <w:rPr>
      <w:sz w:val="26"/>
      <w:szCs w:val="20"/>
    </w:rPr>
  </w:style>
  <w:style w:type="paragraph" w:customStyle="1" w:styleId="inciso">
    <w:name w:val="inciso"/>
    <w:basedOn w:val="Normal"/>
    <w:qFormat/>
    <w:pPr>
      <w:spacing w:before="120"/>
      <w:ind w:firstLine="1701"/>
      <w:jc w:val="both"/>
    </w:pPr>
    <w:rPr>
      <w:sz w:val="26"/>
      <w:szCs w:val="20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color w:val="000000"/>
      <w:sz w:val="24"/>
      <w:lang w:val="en-US" w:bidi="en-US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styleId="SemEspaamento">
    <w:name w:val="No Spacing"/>
    <w:qFormat/>
    <w:rPr>
      <w:lang w:eastAsia="pt-BR"/>
    </w:rPr>
  </w:style>
  <w:style w:type="paragraph" w:customStyle="1" w:styleId="Textbodyindent">
    <w:name w:val="Text body indent"/>
    <w:basedOn w:val="Standard"/>
    <w:qFormat/>
    <w:pPr>
      <w:tabs>
        <w:tab w:val="left" w:pos="8640"/>
      </w:tabs>
      <w:ind w:right="536" w:firstLine="2700"/>
      <w:jc w:val="both"/>
    </w:pPr>
  </w:style>
  <w:style w:type="paragraph" w:customStyle="1" w:styleId="LO-Normal">
    <w:name w:val="LO-Normal"/>
    <w:qFormat/>
  </w:style>
  <w:style w:type="paragraph" w:customStyle="1" w:styleId="Default">
    <w:name w:val="Default"/>
    <w:basedOn w:val="Normal"/>
    <w:qFormat/>
    <w:rPr>
      <w:rFonts w:ascii="Arial;Arial" w:eastAsia="Arial;Arial" w:hAnsi="Arial;Arial" w:cs="Arial;Arial"/>
      <w:color w:val="000000"/>
      <w:lang w:val="de-DE" w:eastAsia="ja-JP" w:bidi="fa-IR"/>
    </w:rPr>
  </w:style>
  <w:style w:type="paragraph" w:styleId="Corpodetexto3">
    <w:name w:val="Body Text 3"/>
    <w:basedOn w:val="Standard"/>
    <w:qFormat/>
    <w:pPr>
      <w:widowControl/>
      <w:spacing w:before="280" w:after="280"/>
    </w:pPr>
    <w:rPr>
      <w:rFonts w:ascii="Arial Unicode MS" w:eastAsia="Arial Unicode MS" w:hAnsi="Arial Unicode MS" w:cs="Arial Unicode MS"/>
      <w:lang w:bidi="ar-SA"/>
    </w:rPr>
  </w:style>
  <w:style w:type="numbering" w:customStyle="1" w:styleId="WW8Num58">
    <w:name w:val="WW8Num58"/>
    <w:qFormat/>
  </w:style>
  <w:style w:type="numbering" w:customStyle="1" w:styleId="WW8Num14">
    <w:name w:val="WW8Num14"/>
    <w:qFormat/>
  </w:style>
  <w:style w:type="numbering" w:customStyle="1" w:styleId="WW8Num48">
    <w:name w:val="WW8Num48"/>
    <w:qFormat/>
  </w:style>
  <w:style w:type="numbering" w:customStyle="1" w:styleId="WW8Num23">
    <w:name w:val="WW8Num23"/>
    <w:qFormat/>
  </w:style>
  <w:style w:type="numbering" w:customStyle="1" w:styleId="WW8Num80">
    <w:name w:val="WW8Num80"/>
    <w:qFormat/>
  </w:style>
  <w:style w:type="numbering" w:customStyle="1" w:styleId="WW8Num20">
    <w:name w:val="WW8Num20"/>
    <w:qFormat/>
  </w:style>
  <w:style w:type="numbering" w:customStyle="1" w:styleId="WW8Num75">
    <w:name w:val="WW8Num75"/>
    <w:qFormat/>
  </w:style>
  <w:style w:type="numbering" w:customStyle="1" w:styleId="WW8Num68">
    <w:name w:val="WW8Num68"/>
    <w:qFormat/>
  </w:style>
  <w:style w:type="numbering" w:customStyle="1" w:styleId="WW8Num111">
    <w:name w:val="WW8Num111"/>
    <w:qFormat/>
  </w:style>
  <w:style w:type="numbering" w:customStyle="1" w:styleId="WW8Num82">
    <w:name w:val="WW8Num82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50E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E2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bCs/>
      <w:i/>
      <w:iCs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spacing w:before="280" w:after="280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apple-converted-space">
    <w:name w:val="apple-converted-space"/>
    <w:qFormat/>
  </w:style>
  <w:style w:type="character" w:customStyle="1" w:styleId="WW8Num58z0">
    <w:name w:val="WW8Num58z0"/>
    <w:qFormat/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WW8Num48z0">
    <w:name w:val="WW8Num48z0"/>
    <w:qFormat/>
    <w:rPr>
      <w:rFonts w:ascii="Arial" w:eastAsia="Times New Roman" w:hAnsi="Arial" w:cs="Times New Roman"/>
      <w:spacing w:val="-1"/>
      <w:sz w:val="20"/>
      <w:szCs w:val="20"/>
    </w:rPr>
  </w:style>
  <w:style w:type="character" w:styleId="nfase">
    <w:name w:val="Emphasis"/>
    <w:qFormat/>
    <w:rPr>
      <w:i/>
      <w:iCs/>
    </w:rPr>
  </w:style>
  <w:style w:type="character" w:customStyle="1" w:styleId="Tipodeletrapredefinidodopargrafo">
    <w:name w:val="Tipo de letra predefinido do parágrafo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80z0">
    <w:name w:val="WW8Num80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20z0">
    <w:name w:val="WW8Num20z0"/>
    <w:qFormat/>
    <w:rPr>
      <w:rFonts w:ascii="Arial" w:eastAsia="Times New Roman" w:hAnsi="Arial" w:cs="Times New Roman"/>
      <w:spacing w:val="-1"/>
      <w:w w:val="99"/>
      <w:sz w:val="20"/>
      <w:szCs w:val="20"/>
    </w:rPr>
  </w:style>
  <w:style w:type="character" w:customStyle="1" w:styleId="WW8Num75z0">
    <w:name w:val="WW8Num75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111z0">
    <w:name w:val="WW8Num111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spacing w:val="-1"/>
      <w:w w:val="99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LO-Normal"/>
    <w:qFormat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Body Text Indent 2"/>
    <w:basedOn w:val="Normal"/>
    <w:qFormat/>
    <w:pPr>
      <w:tabs>
        <w:tab w:val="left" w:pos="2700"/>
      </w:tabs>
      <w:ind w:left="4500"/>
      <w:jc w:val="both"/>
    </w:pPr>
    <w:rPr>
      <w:b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cs="Mangal"/>
      <w:szCs w:val="21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estern">
    <w:name w:val="western"/>
    <w:basedOn w:val="Normal"/>
    <w:qFormat/>
    <w:pPr>
      <w:spacing w:before="280" w:after="119" w:line="100" w:lineRule="atLeast"/>
    </w:pPr>
    <w:rPr>
      <w:rFonts w:eastAsia="Times New Roma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Recuodecorpodetexto3">
    <w:name w:val="Body Text Indent 3"/>
    <w:basedOn w:val="Normal"/>
    <w:qFormat/>
    <w:pPr>
      <w:ind w:firstLine="2700"/>
      <w:jc w:val="both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styleId="Corpodetexto2">
    <w:name w:val="Body Text 2"/>
    <w:basedOn w:val="Standard"/>
    <w:qFormat/>
    <w:pPr>
      <w:widowControl/>
      <w:jc w:val="both"/>
    </w:pPr>
    <w:rPr>
      <w:rFonts w:ascii="Arial" w:eastAsia="Times New Roman" w:hAnsi="Arial" w:cs="Arial"/>
      <w:b/>
      <w:sz w:val="20"/>
      <w:szCs w:val="20"/>
      <w:lang w:bidi="ar-SA"/>
    </w:rPr>
  </w:style>
  <w:style w:type="paragraph" w:customStyle="1" w:styleId="Contedodalista">
    <w:name w:val="Conteúdo da lista"/>
    <w:basedOn w:val="Normal"/>
    <w:qFormat/>
    <w:pPr>
      <w:widowControl w:val="0"/>
      <w:ind w:left="567"/>
    </w:pPr>
    <w:rPr>
      <w:rFonts w:ascii="Times New Roman" w:eastAsia="Liberation Serif" w:hAnsi="Times New Roman"/>
      <w:color w:val="000000"/>
      <w:lang w:eastAsia="en-US"/>
    </w:rPr>
  </w:style>
  <w:style w:type="paragraph" w:styleId="NormalWeb">
    <w:name w:val="Normal (Web)"/>
    <w:basedOn w:val="Normal"/>
    <w:qFormat/>
    <w:pPr>
      <w:spacing w:before="280" w:after="119" w:line="100" w:lineRule="atLeast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paragraph" w:customStyle="1" w:styleId="bodytext2">
    <w:name w:val="bodytext2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rtigo">
    <w:name w:val="Artigo"/>
    <w:basedOn w:val="Normal"/>
    <w:qFormat/>
    <w:pPr>
      <w:spacing w:before="240"/>
      <w:ind w:firstLine="1134"/>
      <w:jc w:val="both"/>
    </w:pPr>
    <w:rPr>
      <w:sz w:val="26"/>
      <w:szCs w:val="20"/>
    </w:rPr>
  </w:style>
  <w:style w:type="paragraph" w:customStyle="1" w:styleId="inciso">
    <w:name w:val="inciso"/>
    <w:basedOn w:val="Normal"/>
    <w:qFormat/>
    <w:pPr>
      <w:spacing w:before="120"/>
      <w:ind w:firstLine="1701"/>
      <w:jc w:val="both"/>
    </w:pPr>
    <w:rPr>
      <w:sz w:val="26"/>
      <w:szCs w:val="20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color w:val="000000"/>
      <w:sz w:val="24"/>
      <w:lang w:val="en-US" w:bidi="en-US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styleId="SemEspaamento">
    <w:name w:val="No Spacing"/>
    <w:qFormat/>
    <w:rPr>
      <w:lang w:eastAsia="pt-BR"/>
    </w:rPr>
  </w:style>
  <w:style w:type="paragraph" w:customStyle="1" w:styleId="Textbodyindent">
    <w:name w:val="Text body indent"/>
    <w:basedOn w:val="Standard"/>
    <w:qFormat/>
    <w:pPr>
      <w:tabs>
        <w:tab w:val="left" w:pos="8640"/>
      </w:tabs>
      <w:ind w:right="536" w:firstLine="2700"/>
      <w:jc w:val="both"/>
    </w:pPr>
  </w:style>
  <w:style w:type="paragraph" w:customStyle="1" w:styleId="LO-Normal">
    <w:name w:val="LO-Normal"/>
    <w:qFormat/>
  </w:style>
  <w:style w:type="paragraph" w:customStyle="1" w:styleId="Default">
    <w:name w:val="Default"/>
    <w:basedOn w:val="Normal"/>
    <w:qFormat/>
    <w:rPr>
      <w:rFonts w:ascii="Arial;Arial" w:eastAsia="Arial;Arial" w:hAnsi="Arial;Arial" w:cs="Arial;Arial"/>
      <w:color w:val="000000"/>
      <w:lang w:val="de-DE" w:eastAsia="ja-JP" w:bidi="fa-IR"/>
    </w:rPr>
  </w:style>
  <w:style w:type="paragraph" w:styleId="Corpodetexto3">
    <w:name w:val="Body Text 3"/>
    <w:basedOn w:val="Standard"/>
    <w:qFormat/>
    <w:pPr>
      <w:widowControl/>
      <w:spacing w:before="280" w:after="280"/>
    </w:pPr>
    <w:rPr>
      <w:rFonts w:ascii="Arial Unicode MS" w:eastAsia="Arial Unicode MS" w:hAnsi="Arial Unicode MS" w:cs="Arial Unicode MS"/>
      <w:lang w:bidi="ar-SA"/>
    </w:rPr>
  </w:style>
  <w:style w:type="numbering" w:customStyle="1" w:styleId="WW8Num58">
    <w:name w:val="WW8Num58"/>
    <w:qFormat/>
  </w:style>
  <w:style w:type="numbering" w:customStyle="1" w:styleId="WW8Num14">
    <w:name w:val="WW8Num14"/>
    <w:qFormat/>
  </w:style>
  <w:style w:type="numbering" w:customStyle="1" w:styleId="WW8Num48">
    <w:name w:val="WW8Num48"/>
    <w:qFormat/>
  </w:style>
  <w:style w:type="numbering" w:customStyle="1" w:styleId="WW8Num23">
    <w:name w:val="WW8Num23"/>
    <w:qFormat/>
  </w:style>
  <w:style w:type="numbering" w:customStyle="1" w:styleId="WW8Num80">
    <w:name w:val="WW8Num80"/>
    <w:qFormat/>
  </w:style>
  <w:style w:type="numbering" w:customStyle="1" w:styleId="WW8Num20">
    <w:name w:val="WW8Num20"/>
    <w:qFormat/>
  </w:style>
  <w:style w:type="numbering" w:customStyle="1" w:styleId="WW8Num75">
    <w:name w:val="WW8Num75"/>
    <w:qFormat/>
  </w:style>
  <w:style w:type="numbering" w:customStyle="1" w:styleId="WW8Num68">
    <w:name w:val="WW8Num68"/>
    <w:qFormat/>
  </w:style>
  <w:style w:type="numbering" w:customStyle="1" w:styleId="WW8Num111">
    <w:name w:val="WW8Num111"/>
    <w:qFormat/>
  </w:style>
  <w:style w:type="numbering" w:customStyle="1" w:styleId="WW8Num82">
    <w:name w:val="WW8Num82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50E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E2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3549</Words>
  <Characters>19169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Leimann</dc:creator>
  <cp:lastModifiedBy>Alex Leimann</cp:lastModifiedBy>
  <cp:revision>2</cp:revision>
  <cp:lastPrinted>2021-10-21T12:08:00Z</cp:lastPrinted>
  <dcterms:created xsi:type="dcterms:W3CDTF">2021-10-21T12:10:00Z</dcterms:created>
  <dcterms:modified xsi:type="dcterms:W3CDTF">2021-10-21T12:10:00Z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Informa??es 1">
    <vt:lpwstr/>
  </property>
  <property fmtid="{D5CDD505-2E9C-101B-9397-08002B2CF9AE}" pid="4" name="Informa??es 2">
    <vt:lpwstr/>
  </property>
  <property fmtid="{D5CDD505-2E9C-101B-9397-08002B2CF9AE}" pid="5" name="Informa??es 3">
    <vt:lpwstr/>
  </property>
  <property fmtid="{D5CDD505-2E9C-101B-9397-08002B2CF9AE}" pid="6" name="Informa??es 4">
    <vt:lpwstr/>
  </property>
</Properties>
</file>